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2C91" w14:textId="6588C0D5" w:rsidR="005A1AA8" w:rsidRDefault="005A1AA8" w:rsidP="00CD18A6">
      <w:pPr>
        <w:shd w:val="clear" w:color="auto" w:fill="FFFFFF"/>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BEFORE TH</w:t>
      </w:r>
      <w:r w:rsidR="002E0E55">
        <w:rPr>
          <w:rFonts w:ascii="Times New Roman" w:eastAsia="Times New Roman" w:hAnsi="Times New Roman" w:cs="Times New Roman"/>
          <w:color w:val="222222"/>
          <w:sz w:val="28"/>
          <w:szCs w:val="28"/>
        </w:rPr>
        <w:t xml:space="preserve">E CALIFORNIA </w:t>
      </w:r>
      <w:r w:rsidR="00905641">
        <w:rPr>
          <w:rFonts w:ascii="Times New Roman" w:eastAsia="Times New Roman" w:hAnsi="Times New Roman" w:cs="Times New Roman"/>
          <w:color w:val="222222"/>
          <w:sz w:val="28"/>
          <w:szCs w:val="28"/>
        </w:rPr>
        <w:t>PRIVACY PROTECTION AGENCY</w:t>
      </w:r>
    </w:p>
    <w:p w14:paraId="724C89FE" w14:textId="77777777" w:rsidR="00F744C2" w:rsidRDefault="00F744C2" w:rsidP="001B3D4D">
      <w:pPr>
        <w:shd w:val="clear" w:color="auto" w:fill="FFFFFF"/>
        <w:spacing w:after="0" w:line="240" w:lineRule="auto"/>
        <w:rPr>
          <w:rFonts w:ascii="Times New Roman" w:eastAsia="Times New Roman" w:hAnsi="Times New Roman" w:cs="Times New Roman"/>
          <w:color w:val="222222"/>
          <w:sz w:val="28"/>
          <w:szCs w:val="28"/>
        </w:rPr>
      </w:pPr>
    </w:p>
    <w:p w14:paraId="1588E9C7" w14:textId="61EC14E3" w:rsidR="00D8696B" w:rsidRDefault="00F744C2" w:rsidP="00CD18A6">
      <w:pPr>
        <w:shd w:val="clear" w:color="auto" w:fill="FFFFFF"/>
        <w:spacing w:after="0" w:line="240" w:lineRule="auto"/>
        <w:jc w:val="center"/>
        <w:rPr>
          <w:rFonts w:ascii="Times New Roman" w:hAnsi="Times New Roman" w:cs="Times New Roman"/>
          <w:sz w:val="24"/>
          <w:szCs w:val="24"/>
        </w:rPr>
      </w:pPr>
      <w:r w:rsidRPr="00F744C2">
        <w:rPr>
          <w:rFonts w:ascii="Times New Roman" w:hAnsi="Times New Roman" w:cs="Times New Roman"/>
          <w:sz w:val="24"/>
          <w:szCs w:val="24"/>
        </w:rPr>
        <w:t>Cal</w:t>
      </w:r>
      <w:r>
        <w:rPr>
          <w:rFonts w:ascii="Times New Roman" w:hAnsi="Times New Roman" w:cs="Times New Roman"/>
          <w:sz w:val="24"/>
          <w:szCs w:val="24"/>
        </w:rPr>
        <w:t xml:space="preserve">ifornia Code of Regulations, Chapter </w:t>
      </w:r>
      <w:r w:rsidR="007A6C63">
        <w:rPr>
          <w:rFonts w:ascii="Times New Roman" w:hAnsi="Times New Roman" w:cs="Times New Roman"/>
          <w:sz w:val="24"/>
          <w:szCs w:val="24"/>
        </w:rPr>
        <w:t>1</w:t>
      </w:r>
      <w:r w:rsidR="00D8696B">
        <w:rPr>
          <w:rFonts w:ascii="Times New Roman" w:hAnsi="Times New Roman" w:cs="Times New Roman"/>
          <w:sz w:val="24"/>
          <w:szCs w:val="24"/>
        </w:rPr>
        <w:t xml:space="preserve"> California Consumer Privacy Act Regulation</w:t>
      </w:r>
      <w:r w:rsidR="00F607F5">
        <w:rPr>
          <w:rFonts w:ascii="Times New Roman" w:hAnsi="Times New Roman" w:cs="Times New Roman"/>
          <w:sz w:val="24"/>
          <w:szCs w:val="24"/>
        </w:rPr>
        <w:t xml:space="preserve"> </w:t>
      </w:r>
    </w:p>
    <w:p w14:paraId="7D56D4DF" w14:textId="21CECC86" w:rsidR="00F744C2" w:rsidRPr="00F744C2" w:rsidRDefault="00F744C2" w:rsidP="00CD18A6">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Title </w:t>
      </w:r>
      <w:r w:rsidR="003A1D08">
        <w:rPr>
          <w:rFonts w:ascii="Times New Roman" w:hAnsi="Times New Roman" w:cs="Times New Roman"/>
          <w:sz w:val="24"/>
          <w:szCs w:val="24"/>
        </w:rPr>
        <w:t>11</w:t>
      </w:r>
      <w:r>
        <w:rPr>
          <w:rFonts w:ascii="Times New Roman" w:hAnsi="Times New Roman" w:cs="Times New Roman"/>
          <w:sz w:val="24"/>
          <w:szCs w:val="24"/>
        </w:rPr>
        <w:t>,</w:t>
      </w:r>
      <w:r w:rsidR="00A85B03">
        <w:rPr>
          <w:rFonts w:ascii="Times New Roman" w:hAnsi="Times New Roman" w:cs="Times New Roman"/>
          <w:sz w:val="24"/>
          <w:szCs w:val="24"/>
        </w:rPr>
        <w:t xml:space="preserve"> Div. </w:t>
      </w:r>
      <w:r w:rsidR="007A6C63">
        <w:rPr>
          <w:rFonts w:ascii="Times New Roman" w:hAnsi="Times New Roman" w:cs="Times New Roman"/>
          <w:sz w:val="24"/>
          <w:szCs w:val="24"/>
        </w:rPr>
        <w:t>6</w:t>
      </w:r>
      <w:r w:rsidR="00A85B03">
        <w:rPr>
          <w:rFonts w:ascii="Times New Roman" w:hAnsi="Times New Roman" w:cs="Times New Roman"/>
          <w:sz w:val="24"/>
          <w:szCs w:val="24"/>
        </w:rPr>
        <w:t xml:space="preserve"> (</w:t>
      </w:r>
      <w:r w:rsidR="00023D49">
        <w:rPr>
          <w:rFonts w:ascii="Times New Roman" w:hAnsi="Times New Roman" w:cs="Times New Roman"/>
          <w:sz w:val="24"/>
          <w:szCs w:val="24"/>
        </w:rPr>
        <w:t>§§700</w:t>
      </w:r>
      <w:r w:rsidR="00D8696B">
        <w:rPr>
          <w:rFonts w:ascii="Times New Roman" w:hAnsi="Times New Roman" w:cs="Times New Roman"/>
          <w:sz w:val="24"/>
          <w:szCs w:val="24"/>
        </w:rPr>
        <w:t>0-7304</w:t>
      </w:r>
      <w:r w:rsidR="00A85B03">
        <w:rPr>
          <w:rFonts w:ascii="Times New Roman" w:hAnsi="Times New Roman" w:cs="Times New Roman"/>
          <w:sz w:val="24"/>
          <w:szCs w:val="24"/>
        </w:rPr>
        <w:t>)</w:t>
      </w:r>
    </w:p>
    <w:p w14:paraId="07317C1B" w14:textId="77777777" w:rsidR="00CD18A6" w:rsidRPr="00F744C2" w:rsidRDefault="00CD18A6" w:rsidP="00CD18A6">
      <w:pPr>
        <w:shd w:val="clear" w:color="auto" w:fill="FFFFFF"/>
        <w:spacing w:after="0" w:line="240" w:lineRule="auto"/>
        <w:jc w:val="center"/>
        <w:rPr>
          <w:rFonts w:ascii="Times New Roman" w:eastAsia="Times New Roman" w:hAnsi="Times New Roman" w:cs="Times New Roman"/>
          <w:color w:val="222222"/>
          <w:sz w:val="24"/>
          <w:szCs w:val="24"/>
        </w:rPr>
      </w:pPr>
    </w:p>
    <w:p w14:paraId="1072CC7D" w14:textId="155A20FA" w:rsidR="005A1AA8" w:rsidRPr="008E2FBE" w:rsidRDefault="00F744C2" w:rsidP="008E2FB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Comments </w:t>
      </w:r>
      <w:r w:rsidR="004F5B07">
        <w:rPr>
          <w:rFonts w:ascii="Times New Roman" w:hAnsi="Times New Roman" w:cs="Times New Roman"/>
          <w:b/>
          <w:sz w:val="32"/>
          <w:szCs w:val="32"/>
          <w:u w:val="single"/>
        </w:rPr>
        <w:t>on Proposed</w:t>
      </w:r>
      <w:r w:rsidR="001B3D4D">
        <w:rPr>
          <w:rFonts w:ascii="Times New Roman" w:hAnsi="Times New Roman" w:cs="Times New Roman"/>
          <w:b/>
          <w:sz w:val="32"/>
          <w:szCs w:val="32"/>
          <w:u w:val="single"/>
        </w:rPr>
        <w:t xml:space="preserve"> </w:t>
      </w:r>
      <w:r w:rsidR="00FC6B68">
        <w:rPr>
          <w:rFonts w:ascii="Times New Roman" w:hAnsi="Times New Roman" w:cs="Times New Roman"/>
          <w:b/>
          <w:sz w:val="32"/>
          <w:szCs w:val="32"/>
          <w:u w:val="single"/>
        </w:rPr>
        <w:t>Cal</w:t>
      </w:r>
      <w:r w:rsidR="00A4677F">
        <w:rPr>
          <w:rFonts w:ascii="Times New Roman" w:hAnsi="Times New Roman" w:cs="Times New Roman"/>
          <w:b/>
          <w:sz w:val="32"/>
          <w:szCs w:val="32"/>
          <w:u w:val="single"/>
        </w:rPr>
        <w:t>ifornia Consumer Privacy Act Regulations</w:t>
      </w:r>
    </w:p>
    <w:p w14:paraId="1F1B7F20" w14:textId="2EBE6959" w:rsidR="005A1AA8" w:rsidRDefault="005A1AA8" w:rsidP="005A1AA8">
      <w:pPr>
        <w:ind w:firstLine="720"/>
        <w:rPr>
          <w:rFonts w:ascii="Times New Roman" w:hAnsi="Times New Roman" w:cs="Times New Roman"/>
          <w:sz w:val="24"/>
          <w:szCs w:val="24"/>
        </w:rPr>
      </w:pPr>
      <w:r>
        <w:rPr>
          <w:rFonts w:ascii="Times New Roman" w:hAnsi="Times New Roman" w:cs="Times New Roman"/>
          <w:sz w:val="24"/>
          <w:szCs w:val="24"/>
        </w:rPr>
        <w:t>The Association of Test Publishers (“ATP”) s</w:t>
      </w:r>
      <w:r w:rsidR="003418D7">
        <w:rPr>
          <w:rFonts w:ascii="Times New Roman" w:hAnsi="Times New Roman" w:cs="Times New Roman"/>
          <w:sz w:val="24"/>
          <w:szCs w:val="24"/>
        </w:rPr>
        <w:t xml:space="preserve">ubmits these comments to address </w:t>
      </w:r>
      <w:r>
        <w:rPr>
          <w:rFonts w:ascii="Times New Roman" w:hAnsi="Times New Roman" w:cs="Times New Roman"/>
          <w:sz w:val="24"/>
          <w:szCs w:val="24"/>
        </w:rPr>
        <w:t xml:space="preserve">the concerns of the </w:t>
      </w:r>
      <w:r w:rsidR="00213CD2">
        <w:rPr>
          <w:rFonts w:ascii="Times New Roman" w:hAnsi="Times New Roman" w:cs="Times New Roman"/>
          <w:sz w:val="24"/>
          <w:szCs w:val="24"/>
        </w:rPr>
        <w:t xml:space="preserve">testing industry </w:t>
      </w:r>
      <w:r w:rsidR="00A4677F">
        <w:rPr>
          <w:rFonts w:ascii="Times New Roman" w:hAnsi="Times New Roman" w:cs="Times New Roman"/>
          <w:sz w:val="24"/>
          <w:szCs w:val="24"/>
        </w:rPr>
        <w:t>related to the</w:t>
      </w:r>
      <w:r>
        <w:rPr>
          <w:rFonts w:ascii="Times New Roman" w:hAnsi="Times New Roman" w:cs="Times New Roman"/>
          <w:sz w:val="24"/>
          <w:szCs w:val="24"/>
        </w:rPr>
        <w:t xml:space="preserve"> California Consumer Privacy Act</w:t>
      </w:r>
      <w:r w:rsidR="007D1613">
        <w:rPr>
          <w:rFonts w:ascii="Times New Roman" w:hAnsi="Times New Roman" w:cs="Times New Roman"/>
          <w:sz w:val="24"/>
          <w:szCs w:val="24"/>
        </w:rPr>
        <w:t xml:space="preserve"> </w:t>
      </w:r>
      <w:r w:rsidR="00A4677F">
        <w:rPr>
          <w:rFonts w:ascii="Times New Roman" w:hAnsi="Times New Roman" w:cs="Times New Roman"/>
          <w:sz w:val="24"/>
          <w:szCs w:val="24"/>
        </w:rPr>
        <w:t xml:space="preserve">Proposed </w:t>
      </w:r>
      <w:r w:rsidR="007D1613">
        <w:rPr>
          <w:rFonts w:ascii="Times New Roman" w:hAnsi="Times New Roman" w:cs="Times New Roman"/>
          <w:sz w:val="24"/>
          <w:szCs w:val="24"/>
        </w:rPr>
        <w:t>Regulations</w:t>
      </w:r>
      <w:r w:rsidR="00456B3E">
        <w:rPr>
          <w:rFonts w:ascii="Times New Roman" w:hAnsi="Times New Roman" w:cs="Times New Roman"/>
          <w:sz w:val="24"/>
          <w:szCs w:val="24"/>
        </w:rPr>
        <w:t xml:space="preserve"> (“Proposed Regulations”)</w:t>
      </w:r>
      <w:r w:rsidR="00F744C2">
        <w:rPr>
          <w:rFonts w:ascii="Times New Roman" w:hAnsi="Times New Roman" w:cs="Times New Roman"/>
          <w:sz w:val="24"/>
          <w:szCs w:val="24"/>
        </w:rPr>
        <w:t>, as published on</w:t>
      </w:r>
      <w:r w:rsidR="007D1613">
        <w:rPr>
          <w:rFonts w:ascii="Times New Roman" w:hAnsi="Times New Roman" w:cs="Times New Roman"/>
          <w:sz w:val="24"/>
          <w:szCs w:val="24"/>
        </w:rPr>
        <w:t xml:space="preserve"> July 8, 2022</w:t>
      </w:r>
      <w:r>
        <w:rPr>
          <w:rFonts w:ascii="Times New Roman" w:hAnsi="Times New Roman" w:cs="Times New Roman"/>
          <w:color w:val="1B253A"/>
          <w:sz w:val="24"/>
          <w:szCs w:val="24"/>
          <w:shd w:val="clear" w:color="auto" w:fill="FFFFFF"/>
        </w:rPr>
        <w:t xml:space="preserve">.  This submission is being made by the required date of </w:t>
      </w:r>
      <w:r w:rsidR="007D1613">
        <w:rPr>
          <w:rFonts w:ascii="Times New Roman" w:hAnsi="Times New Roman" w:cs="Times New Roman"/>
          <w:color w:val="1B253A"/>
          <w:sz w:val="24"/>
          <w:szCs w:val="24"/>
          <w:shd w:val="clear" w:color="auto" w:fill="FFFFFF"/>
        </w:rPr>
        <w:t xml:space="preserve">August </w:t>
      </w:r>
      <w:r w:rsidR="00EE69D5">
        <w:rPr>
          <w:rFonts w:ascii="Times New Roman" w:hAnsi="Times New Roman" w:cs="Times New Roman"/>
          <w:color w:val="1B253A"/>
          <w:sz w:val="24"/>
          <w:szCs w:val="24"/>
          <w:shd w:val="clear" w:color="auto" w:fill="FFFFFF"/>
        </w:rPr>
        <w:t>23, 2022</w:t>
      </w:r>
      <w:r>
        <w:rPr>
          <w:rFonts w:ascii="Times New Roman" w:hAnsi="Times New Roman" w:cs="Times New Roman"/>
          <w:color w:val="1B253A"/>
          <w:sz w:val="24"/>
          <w:szCs w:val="24"/>
          <w:shd w:val="clear" w:color="auto" w:fill="FFFFFF"/>
        </w:rPr>
        <w:t xml:space="preserve">. </w:t>
      </w:r>
    </w:p>
    <w:p w14:paraId="7CE8AC70" w14:textId="6684B774" w:rsidR="005A1AA8" w:rsidRPr="00EC713D" w:rsidRDefault="005A1AA8" w:rsidP="005A1AA8">
      <w:pPr>
        <w:ind w:firstLine="720"/>
        <w:rPr>
          <w:rFonts w:ascii="Times New Roman" w:hAnsi="Times New Roman" w:cs="Times New Roman"/>
          <w:sz w:val="24"/>
          <w:szCs w:val="24"/>
        </w:rPr>
      </w:pPr>
      <w:r>
        <w:rPr>
          <w:rFonts w:ascii="Times New Roman" w:hAnsi="Times New Roman" w:cs="Times New Roman"/>
          <w:sz w:val="24"/>
          <w:szCs w:val="24"/>
        </w:rPr>
        <w:t>The ATP is the</w:t>
      </w:r>
      <w:r w:rsidRPr="00EC713D">
        <w:rPr>
          <w:rFonts w:ascii="Times New Roman" w:hAnsi="Times New Roman" w:cs="Times New Roman"/>
          <w:sz w:val="24"/>
          <w:szCs w:val="24"/>
        </w:rPr>
        <w:t xml:space="preserve"> </w:t>
      </w:r>
      <w:r w:rsidR="004E226D">
        <w:rPr>
          <w:rFonts w:ascii="Times New Roman" w:hAnsi="Times New Roman" w:cs="Times New Roman"/>
          <w:sz w:val="24"/>
          <w:szCs w:val="24"/>
        </w:rPr>
        <w:t>global tr</w:t>
      </w:r>
      <w:r w:rsidRPr="00EC713D">
        <w:rPr>
          <w:rFonts w:ascii="Times New Roman" w:hAnsi="Times New Roman" w:cs="Times New Roman"/>
          <w:sz w:val="24"/>
          <w:szCs w:val="24"/>
        </w:rPr>
        <w:t xml:space="preserve">ade association </w:t>
      </w:r>
      <w:r w:rsidR="00456B3E">
        <w:rPr>
          <w:rFonts w:ascii="Times New Roman" w:hAnsi="Times New Roman" w:cs="Times New Roman"/>
          <w:sz w:val="24"/>
          <w:szCs w:val="24"/>
        </w:rPr>
        <w:t xml:space="preserve">for the </w:t>
      </w:r>
      <w:r w:rsidR="0033587C">
        <w:rPr>
          <w:rFonts w:ascii="Times New Roman" w:hAnsi="Times New Roman" w:cs="Times New Roman"/>
          <w:sz w:val="24"/>
          <w:szCs w:val="24"/>
        </w:rPr>
        <w:t>assessment and learning</w:t>
      </w:r>
      <w:r w:rsidR="00456B3E">
        <w:rPr>
          <w:rFonts w:ascii="Times New Roman" w:hAnsi="Times New Roman" w:cs="Times New Roman"/>
          <w:sz w:val="24"/>
          <w:szCs w:val="24"/>
        </w:rPr>
        <w:t xml:space="preserve"> industry. </w:t>
      </w:r>
      <w:r>
        <w:rPr>
          <w:rFonts w:ascii="Times New Roman" w:hAnsi="Times New Roman" w:cs="Times New Roman"/>
          <w:sz w:val="24"/>
          <w:szCs w:val="24"/>
        </w:rPr>
        <w:t xml:space="preserve">The ATP is </w:t>
      </w:r>
      <w:r w:rsidRPr="00EC713D">
        <w:rPr>
          <w:rFonts w:ascii="Times New Roman" w:hAnsi="Times New Roman" w:cs="Times New Roman"/>
          <w:sz w:val="24"/>
          <w:szCs w:val="24"/>
        </w:rPr>
        <w:t>comprised of h</w:t>
      </w:r>
      <w:r w:rsidR="003418D7">
        <w:rPr>
          <w:rFonts w:ascii="Times New Roman" w:hAnsi="Times New Roman" w:cs="Times New Roman"/>
          <w:sz w:val="24"/>
          <w:szCs w:val="24"/>
        </w:rPr>
        <w:t xml:space="preserve">undreds of publishers, </w:t>
      </w:r>
      <w:r w:rsidR="00691825">
        <w:rPr>
          <w:rFonts w:ascii="Times New Roman" w:hAnsi="Times New Roman" w:cs="Times New Roman"/>
          <w:sz w:val="24"/>
          <w:szCs w:val="24"/>
        </w:rPr>
        <w:t xml:space="preserve">test </w:t>
      </w:r>
      <w:r w:rsidR="003418D7">
        <w:rPr>
          <w:rFonts w:ascii="Times New Roman" w:hAnsi="Times New Roman" w:cs="Times New Roman"/>
          <w:sz w:val="24"/>
          <w:szCs w:val="24"/>
        </w:rPr>
        <w:t xml:space="preserve">sponsors </w:t>
      </w:r>
      <w:r>
        <w:rPr>
          <w:rFonts w:ascii="Times New Roman" w:hAnsi="Times New Roman" w:cs="Times New Roman"/>
          <w:sz w:val="24"/>
          <w:szCs w:val="24"/>
        </w:rPr>
        <w:t xml:space="preserve">(i.e., </w:t>
      </w:r>
      <w:r w:rsidR="004E226D">
        <w:rPr>
          <w:rFonts w:ascii="Times New Roman" w:hAnsi="Times New Roman" w:cs="Times New Roman"/>
          <w:sz w:val="24"/>
          <w:szCs w:val="24"/>
        </w:rPr>
        <w:t>developers/</w:t>
      </w:r>
      <w:r>
        <w:rPr>
          <w:rFonts w:ascii="Times New Roman" w:hAnsi="Times New Roman" w:cs="Times New Roman"/>
          <w:sz w:val="24"/>
          <w:szCs w:val="24"/>
        </w:rPr>
        <w:t>owners of test content, such as certification bodies)</w:t>
      </w:r>
      <w:r w:rsidR="003418D7">
        <w:rPr>
          <w:rFonts w:ascii="Times New Roman" w:hAnsi="Times New Roman" w:cs="Times New Roman"/>
          <w:sz w:val="24"/>
          <w:szCs w:val="24"/>
        </w:rPr>
        <w:t>,</w:t>
      </w:r>
      <w:r w:rsidRPr="00EC713D">
        <w:rPr>
          <w:rFonts w:ascii="Times New Roman" w:hAnsi="Times New Roman" w:cs="Times New Roman"/>
          <w:sz w:val="24"/>
          <w:szCs w:val="24"/>
        </w:rPr>
        <w:t xml:space="preserve"> and </w:t>
      </w:r>
      <w:r w:rsidR="00691825">
        <w:rPr>
          <w:rFonts w:ascii="Times New Roman" w:hAnsi="Times New Roman" w:cs="Times New Roman"/>
          <w:sz w:val="24"/>
          <w:szCs w:val="24"/>
        </w:rPr>
        <w:t>vendors that deliver</w:t>
      </w:r>
      <w:r w:rsidRPr="00EC713D">
        <w:rPr>
          <w:rFonts w:ascii="Times New Roman" w:hAnsi="Times New Roman" w:cs="Times New Roman"/>
          <w:sz w:val="24"/>
          <w:szCs w:val="24"/>
        </w:rPr>
        <w:t xml:space="preserve"> tests used in var</w:t>
      </w:r>
      <w:r w:rsidR="008B0608">
        <w:rPr>
          <w:rFonts w:ascii="Times New Roman" w:hAnsi="Times New Roman" w:cs="Times New Roman"/>
          <w:sz w:val="24"/>
          <w:szCs w:val="24"/>
        </w:rPr>
        <w:t xml:space="preserve">ious settings, </w:t>
      </w:r>
      <w:r w:rsidRPr="00EC713D">
        <w:rPr>
          <w:rFonts w:ascii="Times New Roman" w:hAnsi="Times New Roman" w:cs="Times New Roman"/>
          <w:sz w:val="24"/>
          <w:szCs w:val="24"/>
        </w:rPr>
        <w:t>including employment</w:t>
      </w:r>
      <w:r>
        <w:rPr>
          <w:rFonts w:ascii="Times New Roman" w:hAnsi="Times New Roman" w:cs="Times New Roman"/>
          <w:sz w:val="24"/>
          <w:szCs w:val="24"/>
        </w:rPr>
        <w:t xml:space="preserve"> (e.g., employee s</w:t>
      </w:r>
      <w:r w:rsidR="003418D7">
        <w:rPr>
          <w:rFonts w:ascii="Times New Roman" w:hAnsi="Times New Roman" w:cs="Times New Roman"/>
          <w:sz w:val="24"/>
          <w:szCs w:val="24"/>
        </w:rPr>
        <w:t>election and other HR functions</w:t>
      </w:r>
      <w:r>
        <w:rPr>
          <w:rFonts w:ascii="Times New Roman" w:hAnsi="Times New Roman" w:cs="Times New Roman"/>
          <w:sz w:val="24"/>
          <w:szCs w:val="24"/>
        </w:rPr>
        <w:t>)</w:t>
      </w:r>
      <w:r w:rsidRPr="00EC713D">
        <w:rPr>
          <w:rFonts w:ascii="Times New Roman" w:hAnsi="Times New Roman" w:cs="Times New Roman"/>
          <w:sz w:val="24"/>
          <w:szCs w:val="24"/>
        </w:rPr>
        <w:t>, educ</w:t>
      </w:r>
      <w:r>
        <w:rPr>
          <w:rFonts w:ascii="Times New Roman" w:hAnsi="Times New Roman" w:cs="Times New Roman"/>
          <w:sz w:val="24"/>
          <w:szCs w:val="24"/>
        </w:rPr>
        <w:t xml:space="preserve">ation (e.g., academic admissions), clinical diagnostic </w:t>
      </w:r>
      <w:r w:rsidR="004F4E9D">
        <w:rPr>
          <w:rFonts w:ascii="Times New Roman" w:hAnsi="Times New Roman" w:cs="Times New Roman"/>
          <w:sz w:val="24"/>
          <w:szCs w:val="24"/>
        </w:rPr>
        <w:t xml:space="preserve">and other healthcare </w:t>
      </w:r>
      <w:r>
        <w:rPr>
          <w:rFonts w:ascii="Times New Roman" w:hAnsi="Times New Roman" w:cs="Times New Roman"/>
          <w:sz w:val="24"/>
          <w:szCs w:val="24"/>
        </w:rPr>
        <w:t>assessment</w:t>
      </w:r>
      <w:r w:rsidR="004E226D">
        <w:rPr>
          <w:rFonts w:ascii="Times New Roman" w:hAnsi="Times New Roman" w:cs="Times New Roman"/>
          <w:sz w:val="24"/>
          <w:szCs w:val="24"/>
        </w:rPr>
        <w:t>s</w:t>
      </w:r>
      <w:r>
        <w:rPr>
          <w:rFonts w:ascii="Times New Roman" w:hAnsi="Times New Roman" w:cs="Times New Roman"/>
          <w:sz w:val="24"/>
          <w:szCs w:val="24"/>
        </w:rPr>
        <w:t xml:space="preserve">, </w:t>
      </w:r>
      <w:r w:rsidRPr="00EC713D">
        <w:rPr>
          <w:rFonts w:ascii="Times New Roman" w:hAnsi="Times New Roman" w:cs="Times New Roman"/>
          <w:sz w:val="24"/>
          <w:szCs w:val="24"/>
        </w:rPr>
        <w:t>certification/</w:t>
      </w:r>
      <w:r>
        <w:rPr>
          <w:rFonts w:ascii="Times New Roman" w:hAnsi="Times New Roman" w:cs="Times New Roman"/>
          <w:sz w:val="24"/>
          <w:szCs w:val="24"/>
        </w:rPr>
        <w:t xml:space="preserve"> </w:t>
      </w:r>
      <w:r w:rsidR="008B0608">
        <w:rPr>
          <w:rFonts w:ascii="Times New Roman" w:hAnsi="Times New Roman" w:cs="Times New Roman"/>
          <w:sz w:val="24"/>
          <w:szCs w:val="24"/>
        </w:rPr>
        <w:t>licensure (e.g., licensure/recerti</w:t>
      </w:r>
      <w:r w:rsidR="00AB0BDC">
        <w:rPr>
          <w:rFonts w:ascii="Times New Roman" w:hAnsi="Times New Roman" w:cs="Times New Roman"/>
          <w:sz w:val="24"/>
          <w:szCs w:val="24"/>
        </w:rPr>
        <w:t>fication of various</w:t>
      </w:r>
      <w:r w:rsidR="008B0608">
        <w:rPr>
          <w:rFonts w:ascii="Times New Roman" w:hAnsi="Times New Roman" w:cs="Times New Roman"/>
          <w:sz w:val="24"/>
          <w:szCs w:val="24"/>
        </w:rPr>
        <w:t xml:space="preserve"> professionals)</w:t>
      </w:r>
      <w:r w:rsidRPr="00EC713D">
        <w:rPr>
          <w:rFonts w:ascii="Times New Roman" w:hAnsi="Times New Roman" w:cs="Times New Roman"/>
          <w:sz w:val="24"/>
          <w:szCs w:val="24"/>
        </w:rPr>
        <w:t xml:space="preserve">, </w:t>
      </w:r>
      <w:r w:rsidR="00691825">
        <w:rPr>
          <w:rFonts w:ascii="Times New Roman" w:hAnsi="Times New Roman" w:cs="Times New Roman"/>
          <w:sz w:val="24"/>
          <w:szCs w:val="24"/>
        </w:rPr>
        <w:t xml:space="preserve">and </w:t>
      </w:r>
      <w:r w:rsidR="00E74AF2">
        <w:rPr>
          <w:rFonts w:ascii="Times New Roman" w:hAnsi="Times New Roman" w:cs="Times New Roman"/>
          <w:sz w:val="24"/>
          <w:szCs w:val="24"/>
        </w:rPr>
        <w:t xml:space="preserve">workforce </w:t>
      </w:r>
      <w:r w:rsidR="008B0608">
        <w:rPr>
          <w:rFonts w:ascii="Times New Roman" w:hAnsi="Times New Roman" w:cs="Times New Roman"/>
          <w:sz w:val="24"/>
          <w:szCs w:val="24"/>
        </w:rPr>
        <w:t xml:space="preserve">credentialing, </w:t>
      </w:r>
      <w:r w:rsidRPr="00EC713D">
        <w:rPr>
          <w:rFonts w:ascii="Times New Roman" w:hAnsi="Times New Roman" w:cs="Times New Roman"/>
          <w:sz w:val="24"/>
          <w:szCs w:val="24"/>
        </w:rPr>
        <w:t xml:space="preserve">as well as businesses that provide testing services </w:t>
      </w:r>
      <w:r w:rsidR="00691825">
        <w:rPr>
          <w:rFonts w:ascii="Times New Roman" w:hAnsi="Times New Roman" w:cs="Times New Roman"/>
          <w:sz w:val="24"/>
          <w:szCs w:val="24"/>
        </w:rPr>
        <w:t xml:space="preserve">(e.g., test security, scoring) </w:t>
      </w:r>
      <w:r w:rsidRPr="00EC713D">
        <w:rPr>
          <w:rFonts w:ascii="Times New Roman" w:hAnsi="Times New Roman" w:cs="Times New Roman"/>
          <w:sz w:val="24"/>
          <w:szCs w:val="24"/>
        </w:rPr>
        <w:t>or</w:t>
      </w:r>
      <w:r>
        <w:rPr>
          <w:rFonts w:ascii="Times New Roman" w:hAnsi="Times New Roman" w:cs="Times New Roman"/>
          <w:sz w:val="24"/>
          <w:szCs w:val="24"/>
        </w:rPr>
        <w:t xml:space="preserve"> administer test programs (</w:t>
      </w:r>
      <w:r w:rsidR="003950E3">
        <w:rPr>
          <w:rFonts w:ascii="Times New Roman" w:hAnsi="Times New Roman" w:cs="Times New Roman"/>
          <w:sz w:val="24"/>
          <w:szCs w:val="24"/>
        </w:rPr>
        <w:t xml:space="preserve">collectively referred to herein as </w:t>
      </w:r>
      <w:r>
        <w:rPr>
          <w:rFonts w:ascii="Times New Roman" w:hAnsi="Times New Roman" w:cs="Times New Roman"/>
          <w:sz w:val="24"/>
          <w:szCs w:val="24"/>
        </w:rPr>
        <w:t>“</w:t>
      </w:r>
      <w:r w:rsidRPr="00EC713D">
        <w:rPr>
          <w:rFonts w:ascii="Times New Roman" w:hAnsi="Times New Roman" w:cs="Times New Roman"/>
          <w:sz w:val="24"/>
          <w:szCs w:val="24"/>
        </w:rPr>
        <w:t>Members”).  Since its inception in 1987, the Associati</w:t>
      </w:r>
      <w:r>
        <w:rPr>
          <w:rFonts w:ascii="Times New Roman" w:hAnsi="Times New Roman" w:cs="Times New Roman"/>
          <w:sz w:val="24"/>
          <w:szCs w:val="24"/>
        </w:rPr>
        <w:t>on has advocated</w:t>
      </w:r>
      <w:r w:rsidRPr="00EC713D">
        <w:rPr>
          <w:rFonts w:ascii="Times New Roman" w:hAnsi="Times New Roman" w:cs="Times New Roman"/>
          <w:sz w:val="24"/>
          <w:szCs w:val="24"/>
        </w:rPr>
        <w:t xml:space="preserve"> for the use of fair, reliable, and valid assessments, including ensuring the security of test content and test results.  Our activities have included providing expertise to and lobbying the US Congress and state legislat</w:t>
      </w:r>
      <w:r w:rsidR="00193677">
        <w:rPr>
          <w:rFonts w:ascii="Times New Roman" w:hAnsi="Times New Roman" w:cs="Times New Roman"/>
          <w:sz w:val="24"/>
          <w:szCs w:val="24"/>
        </w:rPr>
        <w:t>ures</w:t>
      </w:r>
      <w:r w:rsidRPr="00EC713D">
        <w:rPr>
          <w:rFonts w:ascii="Times New Roman" w:hAnsi="Times New Roman" w:cs="Times New Roman"/>
          <w:sz w:val="24"/>
          <w:szCs w:val="24"/>
        </w:rPr>
        <w:t xml:space="preserve"> on proposals affecting the use of testing in employment</w:t>
      </w:r>
      <w:r w:rsidR="00CD18A6">
        <w:rPr>
          <w:rFonts w:ascii="Times New Roman" w:hAnsi="Times New Roman" w:cs="Times New Roman"/>
          <w:sz w:val="24"/>
          <w:szCs w:val="24"/>
        </w:rPr>
        <w:t xml:space="preserve"> and education</w:t>
      </w:r>
      <w:r w:rsidRPr="00EC713D">
        <w:rPr>
          <w:rFonts w:ascii="Times New Roman" w:hAnsi="Times New Roman" w:cs="Times New Roman"/>
          <w:sz w:val="24"/>
          <w:szCs w:val="24"/>
        </w:rPr>
        <w:t xml:space="preserve">, as well </w:t>
      </w:r>
      <w:r w:rsidR="00AB7DA4">
        <w:rPr>
          <w:rFonts w:ascii="Times New Roman" w:hAnsi="Times New Roman" w:cs="Times New Roman"/>
          <w:sz w:val="24"/>
          <w:szCs w:val="24"/>
        </w:rPr>
        <w:t xml:space="preserve">as representing the industry on </w:t>
      </w:r>
      <w:r w:rsidRPr="00EC713D">
        <w:rPr>
          <w:rFonts w:ascii="Times New Roman" w:hAnsi="Times New Roman" w:cs="Times New Roman"/>
          <w:sz w:val="24"/>
          <w:szCs w:val="24"/>
        </w:rPr>
        <w:t>regulatory matters and litigation surrounding the use of testing.</w:t>
      </w:r>
      <w:r w:rsidR="00456B3E">
        <w:rPr>
          <w:rFonts w:ascii="Times New Roman" w:hAnsi="Times New Roman" w:cs="Times New Roman"/>
          <w:sz w:val="24"/>
          <w:szCs w:val="24"/>
        </w:rPr>
        <w:t xml:space="preserve">  </w:t>
      </w:r>
      <w:r w:rsidR="004E226D">
        <w:rPr>
          <w:rFonts w:ascii="Times New Roman" w:hAnsi="Times New Roman" w:cs="Times New Roman"/>
          <w:sz w:val="24"/>
          <w:szCs w:val="24"/>
        </w:rPr>
        <w:t>The ATP</w:t>
      </w:r>
      <w:r w:rsidR="00AB7DA4">
        <w:rPr>
          <w:rFonts w:ascii="Times New Roman" w:hAnsi="Times New Roman" w:cs="Times New Roman"/>
          <w:sz w:val="24"/>
          <w:szCs w:val="24"/>
        </w:rPr>
        <w:t xml:space="preserve"> developed and currently publish</w:t>
      </w:r>
      <w:r w:rsidR="004E226D">
        <w:rPr>
          <w:rFonts w:ascii="Times New Roman" w:hAnsi="Times New Roman" w:cs="Times New Roman"/>
          <w:sz w:val="24"/>
          <w:szCs w:val="24"/>
        </w:rPr>
        <w:t>es</w:t>
      </w:r>
      <w:r w:rsidR="00AB7DA4">
        <w:rPr>
          <w:rFonts w:ascii="Times New Roman" w:hAnsi="Times New Roman" w:cs="Times New Roman"/>
          <w:sz w:val="24"/>
          <w:szCs w:val="24"/>
        </w:rPr>
        <w:t xml:space="preserve"> compli</w:t>
      </w:r>
      <w:r w:rsidR="00213CD2">
        <w:rPr>
          <w:rFonts w:ascii="Times New Roman" w:hAnsi="Times New Roman" w:cs="Times New Roman"/>
          <w:sz w:val="24"/>
          <w:szCs w:val="24"/>
        </w:rPr>
        <w:t xml:space="preserve">ance guidelines </w:t>
      </w:r>
      <w:r w:rsidR="00AB7DA4">
        <w:rPr>
          <w:rFonts w:ascii="Times New Roman" w:hAnsi="Times New Roman" w:cs="Times New Roman"/>
          <w:sz w:val="24"/>
          <w:szCs w:val="24"/>
        </w:rPr>
        <w:t>on the EU General Data Protection Regulation (“GDPR”) and</w:t>
      </w:r>
      <w:r w:rsidR="003950E3">
        <w:rPr>
          <w:rFonts w:ascii="Times New Roman" w:hAnsi="Times New Roman" w:cs="Times New Roman"/>
          <w:sz w:val="24"/>
          <w:szCs w:val="24"/>
        </w:rPr>
        <w:t xml:space="preserve"> </w:t>
      </w:r>
      <w:r w:rsidR="00AB7DA4">
        <w:rPr>
          <w:rFonts w:ascii="Times New Roman" w:hAnsi="Times New Roman" w:cs="Times New Roman"/>
          <w:sz w:val="24"/>
          <w:szCs w:val="24"/>
        </w:rPr>
        <w:t>are currently publishing a series of educational bulletins entitled “Privacy in Practice” that focus o</w:t>
      </w:r>
      <w:r w:rsidR="0047583D">
        <w:rPr>
          <w:rFonts w:ascii="Times New Roman" w:hAnsi="Times New Roman" w:cs="Times New Roman"/>
          <w:sz w:val="24"/>
          <w:szCs w:val="24"/>
        </w:rPr>
        <w:t>n compliance with both U</w:t>
      </w:r>
      <w:r w:rsidR="00797FD8">
        <w:rPr>
          <w:rFonts w:ascii="Times New Roman" w:hAnsi="Times New Roman" w:cs="Times New Roman"/>
          <w:sz w:val="24"/>
          <w:szCs w:val="24"/>
        </w:rPr>
        <w:t>.</w:t>
      </w:r>
      <w:r w:rsidR="0047583D">
        <w:rPr>
          <w:rFonts w:ascii="Times New Roman" w:hAnsi="Times New Roman" w:cs="Times New Roman"/>
          <w:sz w:val="24"/>
          <w:szCs w:val="24"/>
        </w:rPr>
        <w:t>S</w:t>
      </w:r>
      <w:r w:rsidR="00797FD8">
        <w:rPr>
          <w:rFonts w:ascii="Times New Roman" w:hAnsi="Times New Roman" w:cs="Times New Roman"/>
          <w:sz w:val="24"/>
          <w:szCs w:val="24"/>
        </w:rPr>
        <w:t>.</w:t>
      </w:r>
      <w:r w:rsidR="0047583D">
        <w:rPr>
          <w:rFonts w:ascii="Times New Roman" w:hAnsi="Times New Roman" w:cs="Times New Roman"/>
          <w:sz w:val="24"/>
          <w:szCs w:val="24"/>
        </w:rPr>
        <w:t xml:space="preserve"> and international </w:t>
      </w:r>
      <w:r w:rsidR="00AB7DA4">
        <w:rPr>
          <w:rFonts w:ascii="Times New Roman" w:hAnsi="Times New Roman" w:cs="Times New Roman"/>
          <w:sz w:val="24"/>
          <w:szCs w:val="24"/>
        </w:rPr>
        <w:t>privacy laws and regulations</w:t>
      </w:r>
      <w:r w:rsidR="003950E3">
        <w:rPr>
          <w:rFonts w:ascii="Times New Roman" w:hAnsi="Times New Roman" w:cs="Times New Roman"/>
          <w:sz w:val="24"/>
          <w:szCs w:val="24"/>
        </w:rPr>
        <w:t xml:space="preserve">, including the California Consumer Privacy Act </w:t>
      </w:r>
      <w:r w:rsidR="0045016E">
        <w:rPr>
          <w:rFonts w:ascii="Times New Roman" w:hAnsi="Times New Roman" w:cs="Times New Roman"/>
          <w:sz w:val="24"/>
          <w:szCs w:val="24"/>
        </w:rPr>
        <w:t>(</w:t>
      </w:r>
      <w:r w:rsidR="001050E6">
        <w:rPr>
          <w:rFonts w:ascii="Times New Roman" w:hAnsi="Times New Roman" w:cs="Times New Roman"/>
          <w:sz w:val="24"/>
          <w:szCs w:val="24"/>
        </w:rPr>
        <w:t>“</w:t>
      </w:r>
      <w:r w:rsidR="0045016E">
        <w:rPr>
          <w:rFonts w:ascii="Times New Roman" w:hAnsi="Times New Roman" w:cs="Times New Roman"/>
          <w:sz w:val="24"/>
          <w:szCs w:val="24"/>
        </w:rPr>
        <w:t>CCPA</w:t>
      </w:r>
      <w:r w:rsidR="001050E6">
        <w:rPr>
          <w:rFonts w:ascii="Times New Roman" w:hAnsi="Times New Roman" w:cs="Times New Roman"/>
          <w:sz w:val="24"/>
          <w:szCs w:val="24"/>
        </w:rPr>
        <w:t>”</w:t>
      </w:r>
      <w:r w:rsidR="0045016E">
        <w:rPr>
          <w:rFonts w:ascii="Times New Roman" w:hAnsi="Times New Roman" w:cs="Times New Roman"/>
          <w:sz w:val="24"/>
          <w:szCs w:val="24"/>
        </w:rPr>
        <w:t>)</w:t>
      </w:r>
      <w:r w:rsidR="004E226D">
        <w:rPr>
          <w:rFonts w:ascii="Times New Roman" w:hAnsi="Times New Roman" w:cs="Times New Roman"/>
          <w:sz w:val="24"/>
          <w:szCs w:val="24"/>
        </w:rPr>
        <w:t>.</w:t>
      </w:r>
      <w:r w:rsidR="00981158">
        <w:rPr>
          <w:rFonts w:ascii="Times New Roman" w:hAnsi="Times New Roman" w:cs="Times New Roman"/>
          <w:sz w:val="24"/>
          <w:szCs w:val="24"/>
        </w:rPr>
        <w:t xml:space="preserve"> </w:t>
      </w:r>
      <w:r w:rsidR="004E226D">
        <w:rPr>
          <w:rFonts w:ascii="Times New Roman" w:hAnsi="Times New Roman" w:cs="Times New Roman"/>
          <w:sz w:val="24"/>
          <w:szCs w:val="24"/>
        </w:rPr>
        <w:t xml:space="preserve">The ATP also </w:t>
      </w:r>
      <w:r w:rsidR="00A63BC1">
        <w:rPr>
          <w:rFonts w:ascii="Times New Roman" w:hAnsi="Times New Roman" w:cs="Times New Roman"/>
          <w:sz w:val="24"/>
          <w:szCs w:val="24"/>
        </w:rPr>
        <w:t>plan</w:t>
      </w:r>
      <w:r w:rsidR="004E226D">
        <w:rPr>
          <w:rFonts w:ascii="Times New Roman" w:hAnsi="Times New Roman" w:cs="Times New Roman"/>
          <w:sz w:val="24"/>
          <w:szCs w:val="24"/>
        </w:rPr>
        <w:t>s</w:t>
      </w:r>
      <w:r w:rsidR="00A63BC1">
        <w:rPr>
          <w:rFonts w:ascii="Times New Roman" w:hAnsi="Times New Roman" w:cs="Times New Roman"/>
          <w:sz w:val="24"/>
          <w:szCs w:val="24"/>
        </w:rPr>
        <w:t xml:space="preserve"> to publish a bulletin on the</w:t>
      </w:r>
      <w:r w:rsidR="00AF19DD">
        <w:rPr>
          <w:rFonts w:ascii="Times New Roman" w:hAnsi="Times New Roman" w:cs="Times New Roman"/>
          <w:sz w:val="24"/>
          <w:szCs w:val="24"/>
        </w:rPr>
        <w:t>se Proposed Regulations</w:t>
      </w:r>
      <w:r w:rsidR="0055503A">
        <w:rPr>
          <w:rFonts w:ascii="Times New Roman" w:hAnsi="Times New Roman" w:cs="Times New Roman"/>
          <w:sz w:val="24"/>
          <w:szCs w:val="24"/>
        </w:rPr>
        <w:t xml:space="preserve"> when final</w:t>
      </w:r>
      <w:r w:rsidR="00AF19DD">
        <w:rPr>
          <w:rFonts w:ascii="Times New Roman" w:hAnsi="Times New Roman" w:cs="Times New Roman"/>
          <w:sz w:val="24"/>
          <w:szCs w:val="24"/>
        </w:rPr>
        <w:t xml:space="preserve">. </w:t>
      </w:r>
    </w:p>
    <w:p w14:paraId="0967C38F" w14:textId="4D0D1F63" w:rsidR="001050E6" w:rsidRDefault="005A1AA8" w:rsidP="001050E6">
      <w:pPr>
        <w:ind w:firstLine="720"/>
        <w:rPr>
          <w:rFonts w:ascii="Times New Roman" w:hAnsi="Times New Roman" w:cs="Times New Roman"/>
          <w:sz w:val="24"/>
          <w:szCs w:val="24"/>
        </w:rPr>
      </w:pPr>
      <w:r>
        <w:rPr>
          <w:rFonts w:ascii="Times New Roman" w:hAnsi="Times New Roman" w:cs="Times New Roman"/>
          <w:sz w:val="24"/>
          <w:szCs w:val="24"/>
        </w:rPr>
        <w:t>The ATP</w:t>
      </w:r>
      <w:r w:rsidRPr="000366BA">
        <w:rPr>
          <w:rFonts w:ascii="Times New Roman" w:hAnsi="Times New Roman" w:cs="Times New Roman"/>
          <w:sz w:val="24"/>
          <w:szCs w:val="24"/>
        </w:rPr>
        <w:t xml:space="preserve"> respect</w:t>
      </w:r>
      <w:r>
        <w:rPr>
          <w:rFonts w:ascii="Times New Roman" w:hAnsi="Times New Roman" w:cs="Times New Roman"/>
          <w:sz w:val="24"/>
          <w:szCs w:val="24"/>
        </w:rPr>
        <w:t>s the</w:t>
      </w:r>
      <w:r w:rsidRPr="000366BA">
        <w:rPr>
          <w:rFonts w:ascii="Times New Roman" w:hAnsi="Times New Roman" w:cs="Times New Roman"/>
          <w:sz w:val="24"/>
          <w:szCs w:val="24"/>
        </w:rPr>
        <w:t xml:space="preserve"> goal</w:t>
      </w:r>
      <w:r w:rsidR="00456B3E">
        <w:rPr>
          <w:rFonts w:ascii="Times New Roman" w:hAnsi="Times New Roman" w:cs="Times New Roman"/>
          <w:sz w:val="24"/>
          <w:szCs w:val="24"/>
        </w:rPr>
        <w:t>s</w:t>
      </w:r>
      <w:r w:rsidR="0004331E">
        <w:rPr>
          <w:rFonts w:ascii="Times New Roman" w:hAnsi="Times New Roman" w:cs="Times New Roman"/>
          <w:sz w:val="24"/>
          <w:szCs w:val="24"/>
        </w:rPr>
        <w:t xml:space="preserve"> </w:t>
      </w:r>
      <w:r w:rsidR="004E226D">
        <w:rPr>
          <w:rFonts w:ascii="Times New Roman" w:hAnsi="Times New Roman" w:cs="Times New Roman"/>
          <w:sz w:val="24"/>
          <w:szCs w:val="24"/>
        </w:rPr>
        <w:t xml:space="preserve">the </w:t>
      </w:r>
      <w:r w:rsidR="0004331E">
        <w:rPr>
          <w:rFonts w:ascii="Times New Roman" w:hAnsi="Times New Roman" w:cs="Times New Roman"/>
          <w:sz w:val="24"/>
          <w:szCs w:val="24"/>
        </w:rPr>
        <w:t>California Consumer Privacy Agency</w:t>
      </w:r>
      <w:r w:rsidR="008F207C">
        <w:rPr>
          <w:rFonts w:ascii="Times New Roman" w:hAnsi="Times New Roman" w:cs="Times New Roman"/>
          <w:sz w:val="24"/>
          <w:szCs w:val="24"/>
        </w:rPr>
        <w:t xml:space="preserve"> (the “Agency”)</w:t>
      </w:r>
      <w:r w:rsidR="0004331E">
        <w:rPr>
          <w:rFonts w:ascii="Times New Roman" w:hAnsi="Times New Roman" w:cs="Times New Roman"/>
          <w:sz w:val="24"/>
          <w:szCs w:val="24"/>
        </w:rPr>
        <w:t xml:space="preserve"> </w:t>
      </w:r>
      <w:r w:rsidR="004E226D">
        <w:rPr>
          <w:rFonts w:ascii="Times New Roman" w:hAnsi="Times New Roman" w:cs="Times New Roman"/>
          <w:sz w:val="24"/>
          <w:szCs w:val="24"/>
        </w:rPr>
        <w:t>is expressing in</w:t>
      </w:r>
      <w:r w:rsidR="00EB419E">
        <w:rPr>
          <w:rFonts w:ascii="Times New Roman" w:hAnsi="Times New Roman" w:cs="Times New Roman"/>
          <w:sz w:val="24"/>
          <w:szCs w:val="24"/>
        </w:rPr>
        <w:t xml:space="preserve"> </w:t>
      </w:r>
      <w:r w:rsidR="0004331E">
        <w:rPr>
          <w:rFonts w:ascii="Times New Roman" w:hAnsi="Times New Roman" w:cs="Times New Roman"/>
          <w:sz w:val="24"/>
          <w:szCs w:val="24"/>
        </w:rPr>
        <w:t xml:space="preserve">the </w:t>
      </w:r>
      <w:r w:rsidR="00456B3E">
        <w:rPr>
          <w:rFonts w:ascii="Times New Roman" w:hAnsi="Times New Roman" w:cs="Times New Roman"/>
          <w:sz w:val="24"/>
          <w:szCs w:val="24"/>
        </w:rPr>
        <w:t>Proposed Regulations</w:t>
      </w:r>
      <w:r w:rsidR="00736C05">
        <w:rPr>
          <w:rFonts w:ascii="Times New Roman" w:hAnsi="Times New Roman" w:cs="Times New Roman"/>
          <w:sz w:val="24"/>
          <w:szCs w:val="24"/>
        </w:rPr>
        <w:t xml:space="preserve"> </w:t>
      </w:r>
      <w:r w:rsidR="00797A98">
        <w:rPr>
          <w:rFonts w:ascii="Times New Roman" w:hAnsi="Times New Roman" w:cs="Times New Roman"/>
          <w:sz w:val="24"/>
          <w:szCs w:val="24"/>
        </w:rPr>
        <w:t>to</w:t>
      </w:r>
      <w:r w:rsidR="00736C05">
        <w:rPr>
          <w:rFonts w:ascii="Times New Roman" w:hAnsi="Times New Roman" w:cs="Times New Roman"/>
          <w:sz w:val="24"/>
          <w:szCs w:val="24"/>
        </w:rPr>
        <w:t xml:space="preserve"> </w:t>
      </w:r>
      <w:r w:rsidR="00EB419E">
        <w:rPr>
          <w:rFonts w:ascii="Times New Roman" w:hAnsi="Times New Roman" w:cs="Times New Roman"/>
          <w:sz w:val="24"/>
          <w:szCs w:val="24"/>
        </w:rPr>
        <w:t>provide for</w:t>
      </w:r>
      <w:r w:rsidR="00EB509A">
        <w:rPr>
          <w:rFonts w:ascii="Times New Roman" w:hAnsi="Times New Roman" w:cs="Times New Roman"/>
          <w:sz w:val="24"/>
          <w:szCs w:val="24"/>
        </w:rPr>
        <w:t xml:space="preserve"> comprehensive</w:t>
      </w:r>
      <w:r w:rsidR="00797A98">
        <w:rPr>
          <w:rFonts w:ascii="Times New Roman" w:hAnsi="Times New Roman" w:cs="Times New Roman"/>
          <w:sz w:val="24"/>
          <w:szCs w:val="24"/>
        </w:rPr>
        <w:t xml:space="preserve"> implementation of the</w:t>
      </w:r>
      <w:r w:rsidR="008F207C">
        <w:rPr>
          <w:rFonts w:ascii="Times New Roman" w:hAnsi="Times New Roman" w:cs="Times New Roman"/>
          <w:sz w:val="24"/>
          <w:szCs w:val="24"/>
        </w:rPr>
        <w:t xml:space="preserve"> California Privacy Rights Act (</w:t>
      </w:r>
      <w:r w:rsidR="001050E6">
        <w:rPr>
          <w:rFonts w:ascii="Times New Roman" w:hAnsi="Times New Roman" w:cs="Times New Roman"/>
          <w:sz w:val="24"/>
          <w:szCs w:val="24"/>
        </w:rPr>
        <w:t>“</w:t>
      </w:r>
      <w:r w:rsidR="008F207C">
        <w:rPr>
          <w:rFonts w:ascii="Times New Roman" w:hAnsi="Times New Roman" w:cs="Times New Roman"/>
          <w:sz w:val="24"/>
          <w:szCs w:val="24"/>
        </w:rPr>
        <w:t>CPRA</w:t>
      </w:r>
      <w:r w:rsidR="001050E6">
        <w:rPr>
          <w:rFonts w:ascii="Times New Roman" w:hAnsi="Times New Roman" w:cs="Times New Roman"/>
          <w:sz w:val="24"/>
          <w:szCs w:val="24"/>
        </w:rPr>
        <w:t>”</w:t>
      </w:r>
      <w:r w:rsidR="008F207C">
        <w:rPr>
          <w:rFonts w:ascii="Times New Roman" w:hAnsi="Times New Roman" w:cs="Times New Roman"/>
          <w:sz w:val="24"/>
          <w:szCs w:val="24"/>
        </w:rPr>
        <w:t>)</w:t>
      </w:r>
      <w:r w:rsidR="004E226D">
        <w:rPr>
          <w:rFonts w:ascii="Times New Roman" w:hAnsi="Times New Roman" w:cs="Times New Roman"/>
          <w:sz w:val="24"/>
          <w:szCs w:val="24"/>
        </w:rPr>
        <w:t>,</w:t>
      </w:r>
      <w:r w:rsidR="008F207C">
        <w:rPr>
          <w:rFonts w:ascii="Times New Roman" w:hAnsi="Times New Roman" w:cs="Times New Roman"/>
          <w:sz w:val="24"/>
          <w:szCs w:val="24"/>
        </w:rPr>
        <w:t xml:space="preserve"> amendments to the </w:t>
      </w:r>
      <w:r w:rsidR="00797A98">
        <w:rPr>
          <w:rFonts w:ascii="Times New Roman" w:hAnsi="Times New Roman" w:cs="Times New Roman"/>
          <w:sz w:val="24"/>
          <w:szCs w:val="24"/>
        </w:rPr>
        <w:t>California Consumer Privacy Act (“CCPA”)</w:t>
      </w:r>
      <w:r w:rsidR="00D501BE">
        <w:rPr>
          <w:rFonts w:ascii="Times New Roman" w:hAnsi="Times New Roman" w:cs="Times New Roman"/>
          <w:sz w:val="24"/>
          <w:szCs w:val="24"/>
        </w:rPr>
        <w:t>,</w:t>
      </w:r>
      <w:r w:rsidR="00797A98">
        <w:rPr>
          <w:rFonts w:ascii="Times New Roman" w:hAnsi="Times New Roman" w:cs="Times New Roman"/>
          <w:sz w:val="24"/>
          <w:szCs w:val="24"/>
        </w:rPr>
        <w:t xml:space="preserve"> and to provide guidance to </w:t>
      </w:r>
      <w:r w:rsidR="004E226D">
        <w:rPr>
          <w:rFonts w:ascii="Times New Roman" w:hAnsi="Times New Roman" w:cs="Times New Roman"/>
          <w:sz w:val="24"/>
          <w:szCs w:val="24"/>
        </w:rPr>
        <w:t xml:space="preserve">covered </w:t>
      </w:r>
      <w:r w:rsidR="00797A98">
        <w:rPr>
          <w:rFonts w:ascii="Times New Roman" w:hAnsi="Times New Roman" w:cs="Times New Roman"/>
          <w:sz w:val="24"/>
          <w:szCs w:val="24"/>
        </w:rPr>
        <w:t>businesses that must comply.</w:t>
      </w:r>
      <w:r w:rsidR="00981158">
        <w:rPr>
          <w:rFonts w:ascii="Times New Roman" w:hAnsi="Times New Roman" w:cs="Times New Roman"/>
          <w:sz w:val="24"/>
          <w:szCs w:val="24"/>
        </w:rPr>
        <w:t xml:space="preserve"> </w:t>
      </w:r>
      <w:r>
        <w:rPr>
          <w:rFonts w:ascii="Times New Roman" w:hAnsi="Times New Roman" w:cs="Times New Roman"/>
          <w:sz w:val="24"/>
          <w:szCs w:val="24"/>
        </w:rPr>
        <w:t>H</w:t>
      </w:r>
      <w:r w:rsidRPr="000366BA">
        <w:rPr>
          <w:rFonts w:ascii="Times New Roman" w:hAnsi="Times New Roman" w:cs="Times New Roman"/>
          <w:sz w:val="24"/>
          <w:szCs w:val="24"/>
        </w:rPr>
        <w:t xml:space="preserve">owever, we strongly </w:t>
      </w:r>
      <w:r w:rsidR="00193677">
        <w:rPr>
          <w:rFonts w:ascii="Times New Roman" w:hAnsi="Times New Roman" w:cs="Times New Roman"/>
          <w:sz w:val="24"/>
          <w:szCs w:val="24"/>
        </w:rPr>
        <w:t xml:space="preserve">believe that </w:t>
      </w:r>
      <w:r>
        <w:rPr>
          <w:rFonts w:ascii="Times New Roman" w:hAnsi="Times New Roman" w:cs="Times New Roman"/>
          <w:sz w:val="24"/>
          <w:szCs w:val="24"/>
        </w:rPr>
        <w:t>specific circumstances common in the testing indu</w:t>
      </w:r>
      <w:r w:rsidR="00950F3A">
        <w:rPr>
          <w:rFonts w:ascii="Times New Roman" w:hAnsi="Times New Roman" w:cs="Times New Roman"/>
          <w:sz w:val="24"/>
          <w:szCs w:val="24"/>
        </w:rPr>
        <w:t>stry</w:t>
      </w:r>
      <w:r w:rsidR="00E86300">
        <w:rPr>
          <w:rFonts w:ascii="Times New Roman" w:hAnsi="Times New Roman" w:cs="Times New Roman"/>
          <w:sz w:val="24"/>
          <w:szCs w:val="24"/>
        </w:rPr>
        <w:t xml:space="preserve">, </w:t>
      </w:r>
      <w:r w:rsidR="000233DF">
        <w:rPr>
          <w:rFonts w:ascii="Times New Roman" w:hAnsi="Times New Roman" w:cs="Times New Roman"/>
          <w:sz w:val="24"/>
          <w:szCs w:val="24"/>
        </w:rPr>
        <w:t xml:space="preserve">which are shared by </w:t>
      </w:r>
      <w:r w:rsidR="00E86300">
        <w:rPr>
          <w:rFonts w:ascii="Times New Roman" w:hAnsi="Times New Roman" w:cs="Times New Roman"/>
          <w:sz w:val="24"/>
          <w:szCs w:val="24"/>
        </w:rPr>
        <w:t xml:space="preserve">many smaller/medium-sized businesses in </w:t>
      </w:r>
      <w:r w:rsidR="000233DF">
        <w:rPr>
          <w:rFonts w:ascii="Times New Roman" w:hAnsi="Times New Roman" w:cs="Times New Roman"/>
          <w:sz w:val="24"/>
          <w:szCs w:val="24"/>
        </w:rPr>
        <w:t xml:space="preserve">other </w:t>
      </w:r>
      <w:r w:rsidR="00E86300">
        <w:rPr>
          <w:rFonts w:ascii="Times New Roman" w:hAnsi="Times New Roman" w:cs="Times New Roman"/>
          <w:sz w:val="24"/>
          <w:szCs w:val="24"/>
        </w:rPr>
        <w:t>industr</w:t>
      </w:r>
      <w:r w:rsidR="000233DF">
        <w:rPr>
          <w:rFonts w:ascii="Times New Roman" w:hAnsi="Times New Roman" w:cs="Times New Roman"/>
          <w:sz w:val="24"/>
          <w:szCs w:val="24"/>
        </w:rPr>
        <w:t>ies</w:t>
      </w:r>
      <w:r w:rsidR="00E86300">
        <w:rPr>
          <w:rFonts w:ascii="Times New Roman" w:hAnsi="Times New Roman" w:cs="Times New Roman"/>
          <w:sz w:val="24"/>
          <w:szCs w:val="24"/>
        </w:rPr>
        <w:t>,</w:t>
      </w:r>
      <w:r w:rsidR="00950F3A">
        <w:rPr>
          <w:rFonts w:ascii="Times New Roman" w:hAnsi="Times New Roman" w:cs="Times New Roman"/>
          <w:sz w:val="24"/>
          <w:szCs w:val="24"/>
        </w:rPr>
        <w:t xml:space="preserve"> justify</w:t>
      </w:r>
      <w:r w:rsidR="00797A98">
        <w:rPr>
          <w:rFonts w:ascii="Times New Roman" w:hAnsi="Times New Roman" w:cs="Times New Roman"/>
          <w:sz w:val="24"/>
          <w:szCs w:val="24"/>
        </w:rPr>
        <w:t xml:space="preserve"> modification of th</w:t>
      </w:r>
      <w:r w:rsidR="00950F3A">
        <w:rPr>
          <w:rFonts w:ascii="Times New Roman" w:hAnsi="Times New Roman" w:cs="Times New Roman"/>
          <w:sz w:val="24"/>
          <w:szCs w:val="24"/>
        </w:rPr>
        <w:t xml:space="preserve">e Proposed Regulations </w:t>
      </w:r>
      <w:r>
        <w:rPr>
          <w:rFonts w:ascii="Times New Roman" w:hAnsi="Times New Roman" w:cs="Times New Roman"/>
          <w:sz w:val="24"/>
          <w:szCs w:val="24"/>
        </w:rPr>
        <w:t>when balanced against the rights of individual test takers</w:t>
      </w:r>
      <w:r w:rsidR="00797A98">
        <w:rPr>
          <w:rFonts w:ascii="Times New Roman" w:hAnsi="Times New Roman" w:cs="Times New Roman"/>
          <w:sz w:val="24"/>
          <w:szCs w:val="24"/>
        </w:rPr>
        <w:t xml:space="preserve"> as consumers.</w:t>
      </w:r>
      <w:r w:rsidR="00981158">
        <w:rPr>
          <w:rFonts w:ascii="Times New Roman" w:hAnsi="Times New Roman" w:cs="Times New Roman"/>
          <w:sz w:val="24"/>
          <w:szCs w:val="24"/>
        </w:rPr>
        <w:t xml:space="preserve"> </w:t>
      </w:r>
      <w:r w:rsidR="00BC1A49">
        <w:rPr>
          <w:rFonts w:ascii="Times New Roman" w:hAnsi="Times New Roman" w:cs="Times New Roman"/>
          <w:sz w:val="24"/>
          <w:szCs w:val="24"/>
        </w:rPr>
        <w:t>Accordingly</w:t>
      </w:r>
      <w:r>
        <w:rPr>
          <w:rFonts w:ascii="Times New Roman" w:hAnsi="Times New Roman" w:cs="Times New Roman"/>
          <w:sz w:val="24"/>
          <w:szCs w:val="24"/>
        </w:rPr>
        <w:t>, the ATP</w:t>
      </w:r>
      <w:r w:rsidR="00797A98">
        <w:rPr>
          <w:rFonts w:ascii="Times New Roman" w:hAnsi="Times New Roman" w:cs="Times New Roman"/>
          <w:sz w:val="24"/>
          <w:szCs w:val="24"/>
        </w:rPr>
        <w:t xml:space="preserve"> urges the </w:t>
      </w:r>
      <w:r w:rsidR="008F207C">
        <w:rPr>
          <w:rFonts w:ascii="Times New Roman" w:hAnsi="Times New Roman" w:cs="Times New Roman"/>
          <w:sz w:val="24"/>
          <w:szCs w:val="24"/>
        </w:rPr>
        <w:t xml:space="preserve">Agency </w:t>
      </w:r>
      <w:r w:rsidR="00797A98">
        <w:rPr>
          <w:rFonts w:ascii="Times New Roman" w:hAnsi="Times New Roman" w:cs="Times New Roman"/>
          <w:sz w:val="24"/>
          <w:szCs w:val="24"/>
        </w:rPr>
        <w:t>to take these specific comments into accoun</w:t>
      </w:r>
      <w:r w:rsidR="007058EC">
        <w:rPr>
          <w:rFonts w:ascii="Times New Roman" w:hAnsi="Times New Roman" w:cs="Times New Roman"/>
          <w:sz w:val="24"/>
          <w:szCs w:val="24"/>
        </w:rPr>
        <w:t>t in</w:t>
      </w:r>
      <w:r w:rsidR="001050E6">
        <w:rPr>
          <w:rFonts w:ascii="Times New Roman" w:hAnsi="Times New Roman" w:cs="Times New Roman"/>
          <w:sz w:val="24"/>
          <w:szCs w:val="24"/>
        </w:rPr>
        <w:t xml:space="preserve"> </w:t>
      </w:r>
      <w:r w:rsidR="007058EC">
        <w:rPr>
          <w:rFonts w:ascii="Times New Roman" w:hAnsi="Times New Roman" w:cs="Times New Roman"/>
          <w:sz w:val="24"/>
          <w:szCs w:val="24"/>
        </w:rPr>
        <w:t>adoptin</w:t>
      </w:r>
      <w:r w:rsidR="00BC1A49">
        <w:rPr>
          <w:rFonts w:ascii="Times New Roman" w:hAnsi="Times New Roman" w:cs="Times New Roman"/>
          <w:sz w:val="24"/>
          <w:szCs w:val="24"/>
        </w:rPr>
        <w:t xml:space="preserve">g </w:t>
      </w:r>
      <w:r w:rsidR="007058EC">
        <w:rPr>
          <w:rFonts w:ascii="Times New Roman" w:hAnsi="Times New Roman" w:cs="Times New Roman"/>
          <w:sz w:val="24"/>
          <w:szCs w:val="24"/>
        </w:rPr>
        <w:t>final regulations.</w:t>
      </w:r>
      <w:r w:rsidR="00AB0BDC">
        <w:rPr>
          <w:rFonts w:ascii="Times New Roman" w:hAnsi="Times New Roman" w:cs="Times New Roman"/>
          <w:sz w:val="24"/>
          <w:szCs w:val="24"/>
        </w:rPr>
        <w:tab/>
      </w:r>
    </w:p>
    <w:p w14:paraId="31167C89" w14:textId="2620C85F" w:rsidR="00514206" w:rsidRPr="00172B5F" w:rsidRDefault="00514206" w:rsidP="006F559C">
      <w:pPr>
        <w:ind w:firstLine="720"/>
        <w:rPr>
          <w:rFonts w:ascii="Times New Roman" w:hAnsi="Times New Roman" w:cs="Times New Roman"/>
          <w:b/>
          <w:bCs/>
          <w:sz w:val="24"/>
          <w:szCs w:val="24"/>
        </w:rPr>
      </w:pPr>
      <w:r w:rsidRPr="00172B5F">
        <w:rPr>
          <w:rFonts w:ascii="Times New Roman" w:hAnsi="Times New Roman" w:cs="Times New Roman"/>
          <w:b/>
          <w:bCs/>
          <w:sz w:val="24"/>
          <w:szCs w:val="24"/>
        </w:rPr>
        <w:lastRenderedPageBreak/>
        <w:t xml:space="preserve">GENERAL BACKGROUND: ATP Members and </w:t>
      </w:r>
      <w:r w:rsidR="007776F7">
        <w:rPr>
          <w:rFonts w:ascii="Times New Roman" w:hAnsi="Times New Roman" w:cs="Times New Roman"/>
          <w:b/>
          <w:bCs/>
          <w:sz w:val="24"/>
          <w:szCs w:val="24"/>
        </w:rPr>
        <w:t xml:space="preserve">the </w:t>
      </w:r>
      <w:r w:rsidR="00F94232" w:rsidRPr="007776F7">
        <w:rPr>
          <w:rFonts w:ascii="Times New Roman" w:hAnsi="Times New Roman" w:cs="Times New Roman"/>
          <w:b/>
          <w:bCs/>
          <w:sz w:val="24"/>
          <w:szCs w:val="24"/>
        </w:rPr>
        <w:t xml:space="preserve">Assessment </w:t>
      </w:r>
      <w:r w:rsidRPr="00172B5F">
        <w:rPr>
          <w:rFonts w:ascii="Times New Roman" w:hAnsi="Times New Roman" w:cs="Times New Roman"/>
          <w:b/>
          <w:bCs/>
          <w:sz w:val="24"/>
          <w:szCs w:val="24"/>
        </w:rPr>
        <w:t>Industry</w:t>
      </w:r>
    </w:p>
    <w:p w14:paraId="066D34DA" w14:textId="603F34A2" w:rsidR="0064292B" w:rsidRDefault="0064292B" w:rsidP="006F559C">
      <w:pPr>
        <w:ind w:firstLine="720"/>
        <w:rPr>
          <w:rFonts w:ascii="Times New Roman" w:hAnsi="Times New Roman" w:cs="Times New Roman"/>
          <w:sz w:val="24"/>
          <w:szCs w:val="24"/>
        </w:rPr>
      </w:pPr>
      <w:r>
        <w:rPr>
          <w:rFonts w:ascii="Times New Roman" w:hAnsi="Times New Roman" w:cs="Times New Roman"/>
          <w:sz w:val="24"/>
          <w:szCs w:val="24"/>
        </w:rPr>
        <w:t xml:space="preserve">Many testing events occur </w:t>
      </w:r>
      <w:r w:rsidR="00EE3628">
        <w:rPr>
          <w:rFonts w:ascii="Times New Roman" w:hAnsi="Times New Roman" w:cs="Times New Roman"/>
          <w:sz w:val="24"/>
          <w:szCs w:val="24"/>
        </w:rPr>
        <w:t>that</w:t>
      </w:r>
      <w:r>
        <w:rPr>
          <w:rFonts w:ascii="Times New Roman" w:hAnsi="Times New Roman" w:cs="Times New Roman"/>
          <w:sz w:val="24"/>
          <w:szCs w:val="24"/>
        </w:rPr>
        <w:t xml:space="preserve"> greatly benefit and protect the </w:t>
      </w:r>
      <w:r w:rsidR="0055503A">
        <w:rPr>
          <w:rFonts w:ascii="Times New Roman" w:hAnsi="Times New Roman" w:cs="Times New Roman"/>
          <w:sz w:val="24"/>
          <w:szCs w:val="24"/>
        </w:rPr>
        <w:t>public</w:t>
      </w:r>
      <w:r>
        <w:rPr>
          <w:rFonts w:ascii="Times New Roman" w:hAnsi="Times New Roman" w:cs="Times New Roman"/>
          <w:sz w:val="24"/>
          <w:szCs w:val="24"/>
        </w:rPr>
        <w:t>, along with those who rely on test results, especially individual test takers.  California consumers are no exception to the vast – and growing – population of users of assessments whose purpose is to advance themselves personally and/or professionally.</w:t>
      </w:r>
      <w:r w:rsidRPr="001A6A51">
        <w:rPr>
          <w:vertAlign w:val="superscript"/>
        </w:rPr>
        <w:footnoteReference w:id="1"/>
      </w:r>
      <w:r w:rsidRPr="001A6A51">
        <w:rPr>
          <w:rFonts w:ascii="Times New Roman" w:hAnsi="Times New Roman" w:cs="Times New Roman"/>
          <w:sz w:val="24"/>
          <w:szCs w:val="24"/>
          <w:vertAlign w:val="superscript"/>
        </w:rPr>
        <w:t xml:space="preserve">   </w:t>
      </w:r>
    </w:p>
    <w:p w14:paraId="2AF1921A" w14:textId="0B7A0A1C" w:rsidR="0013259D" w:rsidRDefault="00C14F73" w:rsidP="006F559C">
      <w:pPr>
        <w:ind w:firstLine="720"/>
        <w:rPr>
          <w:rFonts w:ascii="Times New Roman" w:hAnsi="Times New Roman" w:cs="Times New Roman"/>
          <w:sz w:val="24"/>
          <w:szCs w:val="24"/>
        </w:rPr>
      </w:pPr>
      <w:r>
        <w:rPr>
          <w:rFonts w:ascii="Times New Roman" w:hAnsi="Times New Roman" w:cs="Times New Roman"/>
          <w:sz w:val="24"/>
          <w:szCs w:val="24"/>
        </w:rPr>
        <w:t>I</w:t>
      </w:r>
      <w:r w:rsidR="005A1AA8">
        <w:rPr>
          <w:rFonts w:ascii="Times New Roman" w:hAnsi="Times New Roman" w:cs="Times New Roman"/>
          <w:sz w:val="24"/>
          <w:szCs w:val="24"/>
        </w:rPr>
        <w:t>ndividua</w:t>
      </w:r>
      <w:r w:rsidR="00666EAD">
        <w:rPr>
          <w:rFonts w:ascii="Times New Roman" w:hAnsi="Times New Roman" w:cs="Times New Roman"/>
          <w:sz w:val="24"/>
          <w:szCs w:val="24"/>
        </w:rPr>
        <w:t xml:space="preserve">ls voluntarily </w:t>
      </w:r>
      <w:r w:rsidR="00425129">
        <w:rPr>
          <w:rFonts w:ascii="Times New Roman" w:hAnsi="Times New Roman" w:cs="Times New Roman"/>
          <w:sz w:val="24"/>
          <w:szCs w:val="24"/>
        </w:rPr>
        <w:t xml:space="preserve">participate in </w:t>
      </w:r>
      <w:r w:rsidR="00666EAD">
        <w:rPr>
          <w:rFonts w:ascii="Times New Roman" w:hAnsi="Times New Roman" w:cs="Times New Roman"/>
          <w:sz w:val="24"/>
          <w:szCs w:val="24"/>
        </w:rPr>
        <w:t>test</w:t>
      </w:r>
      <w:r w:rsidR="00425129">
        <w:rPr>
          <w:rFonts w:ascii="Times New Roman" w:hAnsi="Times New Roman" w:cs="Times New Roman"/>
          <w:sz w:val="24"/>
          <w:szCs w:val="24"/>
        </w:rPr>
        <w:t>ing</w:t>
      </w:r>
      <w:r w:rsidR="005A1AA8">
        <w:rPr>
          <w:rFonts w:ascii="Times New Roman" w:hAnsi="Times New Roman" w:cs="Times New Roman"/>
          <w:sz w:val="24"/>
          <w:szCs w:val="24"/>
        </w:rPr>
        <w:t xml:space="preserve"> for</w:t>
      </w:r>
      <w:r w:rsidR="0047583D">
        <w:rPr>
          <w:rFonts w:ascii="Times New Roman" w:hAnsi="Times New Roman" w:cs="Times New Roman"/>
          <w:sz w:val="24"/>
          <w:szCs w:val="24"/>
        </w:rPr>
        <w:t xml:space="preserve"> many reasons.</w:t>
      </w:r>
      <w:r w:rsidR="00981158">
        <w:rPr>
          <w:rFonts w:ascii="Times New Roman" w:hAnsi="Times New Roman" w:cs="Times New Roman"/>
          <w:sz w:val="24"/>
          <w:szCs w:val="24"/>
        </w:rPr>
        <w:t xml:space="preserve"> </w:t>
      </w:r>
      <w:r w:rsidR="0047583D">
        <w:rPr>
          <w:rFonts w:ascii="Times New Roman" w:hAnsi="Times New Roman" w:cs="Times New Roman"/>
          <w:sz w:val="24"/>
          <w:szCs w:val="24"/>
        </w:rPr>
        <w:t>Among them is</w:t>
      </w:r>
      <w:r w:rsidR="005A1AA8">
        <w:rPr>
          <w:rFonts w:ascii="Times New Roman" w:hAnsi="Times New Roman" w:cs="Times New Roman"/>
          <w:sz w:val="24"/>
          <w:szCs w:val="24"/>
        </w:rPr>
        <w:t xml:space="preserve"> to</w:t>
      </w:r>
      <w:r w:rsidR="0047583D">
        <w:rPr>
          <w:rFonts w:ascii="Times New Roman" w:hAnsi="Times New Roman" w:cs="Times New Roman"/>
          <w:sz w:val="24"/>
          <w:szCs w:val="24"/>
        </w:rPr>
        <w:t xml:space="preserve"> </w:t>
      </w:r>
      <w:r w:rsidR="005A1AA8">
        <w:rPr>
          <w:rFonts w:ascii="Times New Roman" w:hAnsi="Times New Roman" w:cs="Times New Roman"/>
          <w:sz w:val="24"/>
          <w:szCs w:val="24"/>
        </w:rPr>
        <w:t>obtain a driver’s license</w:t>
      </w:r>
      <w:r w:rsidR="00575080">
        <w:rPr>
          <w:rFonts w:ascii="Times New Roman" w:hAnsi="Times New Roman" w:cs="Times New Roman"/>
          <w:sz w:val="24"/>
          <w:szCs w:val="24"/>
        </w:rPr>
        <w:t xml:space="preserve">, </w:t>
      </w:r>
      <w:r w:rsidR="005A1AA8">
        <w:rPr>
          <w:rFonts w:ascii="Times New Roman" w:hAnsi="Times New Roman" w:cs="Times New Roman"/>
          <w:sz w:val="24"/>
          <w:szCs w:val="24"/>
        </w:rPr>
        <w:t>to identify ways to improve their lives, to understand their academic strengths and weaknesses, to gain admittance to an institution of higher learning or other academic/adult educational program, to seek employment or to gain a promotion once employed, to become lic</w:t>
      </w:r>
      <w:r w:rsidR="0047583D">
        <w:rPr>
          <w:rFonts w:ascii="Times New Roman" w:hAnsi="Times New Roman" w:cs="Times New Roman"/>
          <w:sz w:val="24"/>
          <w:szCs w:val="24"/>
        </w:rPr>
        <w:t>ensed/certified in a profession</w:t>
      </w:r>
      <w:r w:rsidR="008B0608">
        <w:rPr>
          <w:rFonts w:ascii="Times New Roman" w:hAnsi="Times New Roman" w:cs="Times New Roman"/>
          <w:sz w:val="24"/>
          <w:szCs w:val="24"/>
        </w:rPr>
        <w:t>,</w:t>
      </w:r>
      <w:r w:rsidR="008B0608" w:rsidRPr="008B0608">
        <w:rPr>
          <w:rFonts w:ascii="Times New Roman" w:hAnsi="Times New Roman" w:cs="Times New Roman"/>
          <w:sz w:val="24"/>
          <w:szCs w:val="24"/>
        </w:rPr>
        <w:t xml:space="preserve"> </w:t>
      </w:r>
      <w:r w:rsidR="008B0608">
        <w:rPr>
          <w:rFonts w:ascii="Times New Roman" w:hAnsi="Times New Roman" w:cs="Times New Roman"/>
          <w:sz w:val="24"/>
          <w:szCs w:val="24"/>
        </w:rPr>
        <w:t>to become certified in sport/recreation (e.g., flying, scuba) or professionally (e.g., IT certifications in literally thousands of technical skills), and even to understand their own health (e.g., diagnostic tests) or how to provide lifesaving pro</w:t>
      </w:r>
      <w:r w:rsidR="00691825">
        <w:rPr>
          <w:rFonts w:ascii="Times New Roman" w:hAnsi="Times New Roman" w:cs="Times New Roman"/>
          <w:sz w:val="24"/>
          <w:szCs w:val="24"/>
        </w:rPr>
        <w:t>cedures on others (e.g., CPR).  In a majority of these</w:t>
      </w:r>
      <w:r w:rsidR="0047583D">
        <w:rPr>
          <w:rFonts w:ascii="Times New Roman" w:hAnsi="Times New Roman" w:cs="Times New Roman"/>
          <w:sz w:val="24"/>
          <w:szCs w:val="24"/>
        </w:rPr>
        <w:t xml:space="preserve"> instances,</w:t>
      </w:r>
      <w:r w:rsidR="005A1AA8">
        <w:rPr>
          <w:rFonts w:ascii="Times New Roman" w:hAnsi="Times New Roman" w:cs="Times New Roman"/>
          <w:sz w:val="24"/>
          <w:szCs w:val="24"/>
        </w:rPr>
        <w:t xml:space="preserve"> </w:t>
      </w:r>
      <w:r w:rsidR="0047583D">
        <w:rPr>
          <w:rFonts w:ascii="Times New Roman" w:hAnsi="Times New Roman" w:cs="Times New Roman"/>
          <w:sz w:val="24"/>
          <w:szCs w:val="24"/>
        </w:rPr>
        <w:t xml:space="preserve">assessments are pivotal </w:t>
      </w:r>
      <w:r w:rsidR="00691825">
        <w:rPr>
          <w:rFonts w:ascii="Times New Roman" w:hAnsi="Times New Roman" w:cs="Times New Roman"/>
          <w:sz w:val="24"/>
          <w:szCs w:val="24"/>
        </w:rPr>
        <w:t xml:space="preserve">to a </w:t>
      </w:r>
      <w:r w:rsidR="005A1AA8">
        <w:rPr>
          <w:rFonts w:ascii="Times New Roman" w:hAnsi="Times New Roman" w:cs="Times New Roman"/>
          <w:sz w:val="24"/>
          <w:szCs w:val="24"/>
        </w:rPr>
        <w:t>public interest and/or consume</w:t>
      </w:r>
      <w:r w:rsidR="00691825">
        <w:rPr>
          <w:rFonts w:ascii="Times New Roman" w:hAnsi="Times New Roman" w:cs="Times New Roman"/>
          <w:sz w:val="24"/>
          <w:szCs w:val="24"/>
        </w:rPr>
        <w:t>r protection motive</w:t>
      </w:r>
      <w:r w:rsidR="005A1AA8">
        <w:rPr>
          <w:rFonts w:ascii="Times New Roman" w:hAnsi="Times New Roman" w:cs="Times New Roman"/>
          <w:sz w:val="24"/>
          <w:szCs w:val="24"/>
        </w:rPr>
        <w:t xml:space="preserve"> (e.g., medical, legal, accounti</w:t>
      </w:r>
      <w:r w:rsidR="00691825">
        <w:rPr>
          <w:rFonts w:ascii="Times New Roman" w:hAnsi="Times New Roman" w:cs="Times New Roman"/>
          <w:sz w:val="24"/>
          <w:szCs w:val="24"/>
        </w:rPr>
        <w:t>ng, airline pilot, police, EMT).</w:t>
      </w:r>
      <w:r w:rsidR="005A1AA8">
        <w:rPr>
          <w:rFonts w:ascii="Times New Roman" w:hAnsi="Times New Roman" w:cs="Times New Roman"/>
          <w:sz w:val="24"/>
          <w:szCs w:val="24"/>
        </w:rPr>
        <w:t xml:space="preserve"> </w:t>
      </w:r>
    </w:p>
    <w:p w14:paraId="683C86E0" w14:textId="391F7131" w:rsidR="005A1AA8" w:rsidRDefault="006F6E62" w:rsidP="006F559C">
      <w:pPr>
        <w:ind w:firstLine="720"/>
        <w:rPr>
          <w:rFonts w:ascii="Times New Roman" w:hAnsi="Times New Roman" w:cs="Times New Roman"/>
          <w:sz w:val="24"/>
          <w:szCs w:val="24"/>
        </w:rPr>
      </w:pPr>
      <w:r>
        <w:rPr>
          <w:rFonts w:ascii="Times New Roman" w:hAnsi="Times New Roman" w:cs="Times New Roman"/>
          <w:sz w:val="24"/>
          <w:szCs w:val="24"/>
        </w:rPr>
        <w:t xml:space="preserve">Many of these </w:t>
      </w:r>
      <w:r w:rsidR="00575080">
        <w:rPr>
          <w:rFonts w:ascii="Times New Roman" w:hAnsi="Times New Roman" w:cs="Times New Roman"/>
          <w:sz w:val="24"/>
          <w:szCs w:val="24"/>
        </w:rPr>
        <w:t xml:space="preserve">situations </w:t>
      </w:r>
      <w:r w:rsidR="00B603CD">
        <w:rPr>
          <w:rFonts w:ascii="Times New Roman" w:hAnsi="Times New Roman" w:cs="Times New Roman"/>
          <w:sz w:val="24"/>
          <w:szCs w:val="24"/>
        </w:rPr>
        <w:t>involve the use</w:t>
      </w:r>
      <w:r w:rsidR="005A1AA8">
        <w:rPr>
          <w:rFonts w:ascii="Times New Roman" w:hAnsi="Times New Roman" w:cs="Times New Roman"/>
          <w:sz w:val="24"/>
          <w:szCs w:val="24"/>
        </w:rPr>
        <w:t xml:space="preserve"> o</w:t>
      </w:r>
      <w:r>
        <w:rPr>
          <w:rFonts w:ascii="Times New Roman" w:hAnsi="Times New Roman" w:cs="Times New Roman"/>
          <w:sz w:val="24"/>
          <w:szCs w:val="24"/>
        </w:rPr>
        <w:t xml:space="preserve">f “high stakes” secure testing, </w:t>
      </w:r>
      <w:r w:rsidR="005A1AA8">
        <w:rPr>
          <w:rFonts w:ascii="Times New Roman" w:hAnsi="Times New Roman" w:cs="Times New Roman"/>
          <w:sz w:val="24"/>
          <w:szCs w:val="24"/>
        </w:rPr>
        <w:t>i.e., where the outcome of a test carries a significant consequence</w:t>
      </w:r>
      <w:r w:rsidR="00C14F73">
        <w:rPr>
          <w:rFonts w:ascii="Times New Roman" w:hAnsi="Times New Roman" w:cs="Times New Roman"/>
          <w:sz w:val="24"/>
          <w:szCs w:val="24"/>
        </w:rPr>
        <w:t xml:space="preserve"> for the test taker</w:t>
      </w:r>
      <w:r>
        <w:rPr>
          <w:rFonts w:ascii="Times New Roman" w:hAnsi="Times New Roman" w:cs="Times New Roman"/>
          <w:sz w:val="24"/>
          <w:szCs w:val="24"/>
        </w:rPr>
        <w:t xml:space="preserve"> (</w:t>
      </w:r>
      <w:r w:rsidR="00CD18A6">
        <w:rPr>
          <w:rFonts w:ascii="Times New Roman" w:hAnsi="Times New Roman" w:cs="Times New Roman"/>
          <w:sz w:val="24"/>
          <w:szCs w:val="24"/>
        </w:rPr>
        <w:t>such as a</w:t>
      </w:r>
      <w:r w:rsidR="00C14F73">
        <w:rPr>
          <w:rFonts w:ascii="Times New Roman" w:hAnsi="Times New Roman" w:cs="Times New Roman"/>
          <w:sz w:val="24"/>
          <w:szCs w:val="24"/>
        </w:rPr>
        <w:t xml:space="preserve"> securing a</w:t>
      </w:r>
      <w:r w:rsidR="00CD18A6">
        <w:rPr>
          <w:rFonts w:ascii="Times New Roman" w:hAnsi="Times New Roman" w:cs="Times New Roman"/>
          <w:sz w:val="24"/>
          <w:szCs w:val="24"/>
        </w:rPr>
        <w:t xml:space="preserve"> </w:t>
      </w:r>
      <w:r w:rsidR="00C14F73">
        <w:rPr>
          <w:rFonts w:ascii="Times New Roman" w:hAnsi="Times New Roman" w:cs="Times New Roman"/>
          <w:sz w:val="24"/>
          <w:szCs w:val="24"/>
        </w:rPr>
        <w:t>job, getting admitted to a school, or being issued a license or certificate</w:t>
      </w:r>
      <w:r>
        <w:rPr>
          <w:rFonts w:ascii="Times New Roman" w:hAnsi="Times New Roman" w:cs="Times New Roman"/>
          <w:sz w:val="24"/>
          <w:szCs w:val="24"/>
        </w:rPr>
        <w:t>)</w:t>
      </w:r>
      <w:r w:rsidR="0047583D">
        <w:rPr>
          <w:rFonts w:ascii="Times New Roman" w:hAnsi="Times New Roman" w:cs="Times New Roman"/>
          <w:sz w:val="24"/>
          <w:szCs w:val="24"/>
        </w:rPr>
        <w:t xml:space="preserve">.  </w:t>
      </w:r>
      <w:r w:rsidR="00CC09BC">
        <w:rPr>
          <w:rFonts w:ascii="Times New Roman" w:hAnsi="Times New Roman" w:cs="Times New Roman"/>
          <w:sz w:val="24"/>
          <w:szCs w:val="24"/>
        </w:rPr>
        <w:t>In these cases, the test items are kept secure (even by the U.S. Copyright Office, which has separate copyright registration procedures for se</w:t>
      </w:r>
      <w:r>
        <w:rPr>
          <w:rFonts w:ascii="Times New Roman" w:hAnsi="Times New Roman" w:cs="Times New Roman"/>
          <w:sz w:val="24"/>
          <w:szCs w:val="24"/>
        </w:rPr>
        <w:t>cure tests)</w:t>
      </w:r>
      <w:r w:rsidR="008157A3">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to ensure that</w:t>
      </w:r>
      <w:r w:rsidR="00CC09BC">
        <w:rPr>
          <w:rFonts w:ascii="Times New Roman" w:hAnsi="Times New Roman" w:cs="Times New Roman"/>
          <w:sz w:val="24"/>
          <w:szCs w:val="24"/>
        </w:rPr>
        <w:t xml:space="preserve"> future test takers cannot obtain advance knowledge of them – which would have the effect of invalidating the test results. In</w:t>
      </w:r>
      <w:r w:rsidR="00575080">
        <w:rPr>
          <w:rFonts w:ascii="Times New Roman" w:hAnsi="Times New Roman" w:cs="Times New Roman"/>
          <w:sz w:val="24"/>
          <w:szCs w:val="24"/>
        </w:rPr>
        <w:t xml:space="preserve"> fact, if some test takers </w:t>
      </w:r>
      <w:r w:rsidR="00C14F73">
        <w:rPr>
          <w:rFonts w:ascii="Times New Roman" w:hAnsi="Times New Roman" w:cs="Times New Roman"/>
          <w:sz w:val="24"/>
          <w:szCs w:val="24"/>
        </w:rPr>
        <w:t xml:space="preserve">are able to </w:t>
      </w:r>
      <w:r w:rsidR="00575080">
        <w:rPr>
          <w:rFonts w:ascii="Times New Roman" w:hAnsi="Times New Roman" w:cs="Times New Roman"/>
          <w:sz w:val="24"/>
          <w:szCs w:val="24"/>
        </w:rPr>
        <w:t xml:space="preserve">obtain favorable results </w:t>
      </w:r>
      <w:r w:rsidR="00C14F73">
        <w:rPr>
          <w:rFonts w:ascii="Times New Roman" w:hAnsi="Times New Roman" w:cs="Times New Roman"/>
          <w:sz w:val="24"/>
          <w:szCs w:val="24"/>
        </w:rPr>
        <w:t>on a test by cheating</w:t>
      </w:r>
      <w:r w:rsidR="00452D40">
        <w:rPr>
          <w:rFonts w:ascii="Times New Roman" w:hAnsi="Times New Roman" w:cs="Times New Roman"/>
          <w:sz w:val="24"/>
          <w:szCs w:val="24"/>
        </w:rPr>
        <w:t>,</w:t>
      </w:r>
      <w:r w:rsidR="00575080">
        <w:rPr>
          <w:rFonts w:ascii="Times New Roman" w:hAnsi="Times New Roman" w:cs="Times New Roman"/>
          <w:sz w:val="24"/>
          <w:szCs w:val="24"/>
        </w:rPr>
        <w:t xml:space="preserve"> </w:t>
      </w:r>
      <w:r w:rsidR="00C14F73">
        <w:rPr>
          <w:rFonts w:ascii="Times New Roman" w:hAnsi="Times New Roman" w:cs="Times New Roman"/>
          <w:sz w:val="24"/>
          <w:szCs w:val="24"/>
        </w:rPr>
        <w:t xml:space="preserve">then </w:t>
      </w:r>
      <w:r w:rsidR="00575080">
        <w:rPr>
          <w:rFonts w:ascii="Times New Roman" w:hAnsi="Times New Roman" w:cs="Times New Roman"/>
          <w:sz w:val="24"/>
          <w:szCs w:val="24"/>
        </w:rPr>
        <w:t xml:space="preserve">the value of the testing program </w:t>
      </w:r>
      <w:r w:rsidR="00C14F73">
        <w:rPr>
          <w:rFonts w:ascii="Times New Roman" w:hAnsi="Times New Roman" w:cs="Times New Roman"/>
          <w:sz w:val="24"/>
          <w:szCs w:val="24"/>
        </w:rPr>
        <w:t>is</w:t>
      </w:r>
      <w:r w:rsidR="00213CD2">
        <w:rPr>
          <w:rFonts w:ascii="Times New Roman" w:hAnsi="Times New Roman" w:cs="Times New Roman"/>
          <w:sz w:val="24"/>
          <w:szCs w:val="24"/>
        </w:rPr>
        <w:t xml:space="preserve"> completely</w:t>
      </w:r>
      <w:r w:rsidR="00C14F73">
        <w:rPr>
          <w:rFonts w:ascii="Times New Roman" w:hAnsi="Times New Roman" w:cs="Times New Roman"/>
          <w:sz w:val="24"/>
          <w:szCs w:val="24"/>
        </w:rPr>
        <w:t xml:space="preserve"> undermined </w:t>
      </w:r>
      <w:r w:rsidR="00575080">
        <w:rPr>
          <w:rFonts w:ascii="Times New Roman" w:hAnsi="Times New Roman" w:cs="Times New Roman"/>
          <w:sz w:val="24"/>
          <w:szCs w:val="24"/>
        </w:rPr>
        <w:t xml:space="preserve">for everyone.  </w:t>
      </w:r>
      <w:r w:rsidR="00CD18A6">
        <w:rPr>
          <w:rFonts w:ascii="Times New Roman" w:hAnsi="Times New Roman" w:cs="Times New Roman"/>
          <w:sz w:val="24"/>
          <w:szCs w:val="24"/>
        </w:rPr>
        <w:t>T</w:t>
      </w:r>
      <w:r w:rsidR="005A1AA8">
        <w:rPr>
          <w:rFonts w:ascii="Times New Roman" w:hAnsi="Times New Roman" w:cs="Times New Roman"/>
          <w:sz w:val="24"/>
          <w:szCs w:val="24"/>
        </w:rPr>
        <w:t xml:space="preserve">esting has become part of our daily lives; individuals generally well understand that testing provides </w:t>
      </w:r>
      <w:r w:rsidR="00CC09BC">
        <w:rPr>
          <w:rFonts w:ascii="Times New Roman" w:hAnsi="Times New Roman" w:cs="Times New Roman"/>
          <w:sz w:val="24"/>
          <w:szCs w:val="24"/>
        </w:rPr>
        <w:t xml:space="preserve">them with </w:t>
      </w:r>
      <w:r w:rsidR="005A1AA8">
        <w:rPr>
          <w:rFonts w:ascii="Times New Roman" w:hAnsi="Times New Roman" w:cs="Times New Roman"/>
          <w:sz w:val="24"/>
          <w:szCs w:val="24"/>
        </w:rPr>
        <w:t>benefits</w:t>
      </w:r>
      <w:r w:rsidR="00C14F73">
        <w:rPr>
          <w:rFonts w:ascii="Times New Roman" w:hAnsi="Times New Roman" w:cs="Times New Roman"/>
          <w:sz w:val="24"/>
          <w:szCs w:val="24"/>
        </w:rPr>
        <w:t>,</w:t>
      </w:r>
      <w:r w:rsidR="005A1AA8">
        <w:rPr>
          <w:rFonts w:ascii="Times New Roman" w:hAnsi="Times New Roman" w:cs="Times New Roman"/>
          <w:sz w:val="24"/>
          <w:szCs w:val="24"/>
        </w:rPr>
        <w:t xml:space="preserve"> directly or indirectly, by assisting to serve the public health, safety</w:t>
      </w:r>
      <w:r w:rsidR="00CD18A6">
        <w:rPr>
          <w:rFonts w:ascii="Times New Roman" w:hAnsi="Times New Roman" w:cs="Times New Roman"/>
          <w:sz w:val="24"/>
          <w:szCs w:val="24"/>
        </w:rPr>
        <w:t>,</w:t>
      </w:r>
      <w:r w:rsidR="005A1AA8">
        <w:rPr>
          <w:rFonts w:ascii="Times New Roman" w:hAnsi="Times New Roman" w:cs="Times New Roman"/>
          <w:sz w:val="24"/>
          <w:szCs w:val="24"/>
        </w:rPr>
        <w:t xml:space="preserve"> and welfare of the community or society as a whole. </w:t>
      </w:r>
    </w:p>
    <w:p w14:paraId="750F24FA" w14:textId="63E29249" w:rsidR="00053975" w:rsidRDefault="005A1AA8" w:rsidP="00053975">
      <w:pPr>
        <w:ind w:firstLine="720"/>
        <w:rPr>
          <w:rFonts w:ascii="Times New Roman" w:hAnsi="Times New Roman" w:cs="Times New Roman"/>
          <w:sz w:val="24"/>
          <w:szCs w:val="24"/>
        </w:rPr>
      </w:pPr>
      <w:r>
        <w:rPr>
          <w:rFonts w:ascii="Times New Roman" w:hAnsi="Times New Roman" w:cs="Times New Roman"/>
          <w:sz w:val="24"/>
          <w:szCs w:val="24"/>
        </w:rPr>
        <w:t xml:space="preserve">Thus, </w:t>
      </w:r>
      <w:r w:rsidR="008E2FBE">
        <w:rPr>
          <w:rFonts w:ascii="Times New Roman" w:hAnsi="Times New Roman" w:cs="Times New Roman"/>
          <w:sz w:val="24"/>
          <w:szCs w:val="24"/>
        </w:rPr>
        <w:t xml:space="preserve">it is vitally important </w:t>
      </w:r>
      <w:r w:rsidR="00F724A3">
        <w:rPr>
          <w:rFonts w:ascii="Times New Roman" w:hAnsi="Times New Roman" w:cs="Times New Roman"/>
          <w:sz w:val="24"/>
          <w:szCs w:val="24"/>
        </w:rPr>
        <w:t>for</w:t>
      </w:r>
      <w:r w:rsidR="008E2FBE">
        <w:rPr>
          <w:rFonts w:ascii="Times New Roman" w:hAnsi="Times New Roman" w:cs="Times New Roman"/>
          <w:sz w:val="24"/>
          <w:szCs w:val="24"/>
        </w:rPr>
        <w:t xml:space="preserve"> every</w:t>
      </w:r>
      <w:r w:rsidR="00CD18A6">
        <w:rPr>
          <w:rFonts w:ascii="Times New Roman" w:hAnsi="Times New Roman" w:cs="Times New Roman"/>
          <w:sz w:val="24"/>
          <w:szCs w:val="24"/>
        </w:rPr>
        <w:t xml:space="preserve"> </w:t>
      </w:r>
      <w:r>
        <w:rPr>
          <w:rFonts w:ascii="Times New Roman" w:hAnsi="Times New Roman" w:cs="Times New Roman"/>
          <w:sz w:val="24"/>
          <w:szCs w:val="24"/>
        </w:rPr>
        <w:t xml:space="preserve">testing </w:t>
      </w:r>
      <w:r w:rsidR="00F94232">
        <w:rPr>
          <w:rFonts w:ascii="Times New Roman" w:hAnsi="Times New Roman" w:cs="Times New Roman"/>
          <w:sz w:val="24"/>
          <w:szCs w:val="24"/>
        </w:rPr>
        <w:t>organization</w:t>
      </w:r>
      <w:r w:rsidR="00977F67">
        <w:rPr>
          <w:rFonts w:ascii="Times New Roman" w:hAnsi="Times New Roman" w:cs="Times New Roman"/>
          <w:sz w:val="24"/>
          <w:szCs w:val="24"/>
        </w:rPr>
        <w:t>, particularly those using high-stakes tests,</w:t>
      </w:r>
      <w:r>
        <w:rPr>
          <w:rFonts w:ascii="Times New Roman" w:hAnsi="Times New Roman" w:cs="Times New Roman"/>
          <w:sz w:val="24"/>
          <w:szCs w:val="24"/>
        </w:rPr>
        <w:t xml:space="preserve"> </w:t>
      </w:r>
      <w:r w:rsidR="00F724A3">
        <w:rPr>
          <w:rFonts w:ascii="Times New Roman" w:hAnsi="Times New Roman" w:cs="Times New Roman"/>
          <w:sz w:val="24"/>
          <w:szCs w:val="24"/>
        </w:rPr>
        <w:t>to</w:t>
      </w:r>
      <w:r>
        <w:rPr>
          <w:rFonts w:ascii="Times New Roman" w:hAnsi="Times New Roman" w:cs="Times New Roman"/>
          <w:sz w:val="24"/>
          <w:szCs w:val="24"/>
        </w:rPr>
        <w:t xml:space="preserve"> ensure </w:t>
      </w:r>
      <w:r w:rsidR="00193677">
        <w:rPr>
          <w:rFonts w:ascii="Times New Roman" w:hAnsi="Times New Roman" w:cs="Times New Roman"/>
          <w:sz w:val="24"/>
          <w:szCs w:val="24"/>
        </w:rPr>
        <w:t xml:space="preserve">that </w:t>
      </w:r>
      <w:r w:rsidR="00575080">
        <w:rPr>
          <w:rFonts w:ascii="Times New Roman" w:hAnsi="Times New Roman" w:cs="Times New Roman"/>
          <w:sz w:val="24"/>
          <w:szCs w:val="24"/>
        </w:rPr>
        <w:t xml:space="preserve">its </w:t>
      </w:r>
      <w:r w:rsidR="00193677">
        <w:rPr>
          <w:rFonts w:ascii="Times New Roman" w:hAnsi="Times New Roman" w:cs="Times New Roman"/>
          <w:sz w:val="24"/>
          <w:szCs w:val="24"/>
        </w:rPr>
        <w:t xml:space="preserve">online registration </w:t>
      </w:r>
      <w:r w:rsidR="00575080">
        <w:rPr>
          <w:rFonts w:ascii="Times New Roman" w:hAnsi="Times New Roman" w:cs="Times New Roman"/>
          <w:sz w:val="24"/>
          <w:szCs w:val="24"/>
        </w:rPr>
        <w:t xml:space="preserve">process </w:t>
      </w:r>
      <w:r w:rsidR="00193677">
        <w:rPr>
          <w:rFonts w:ascii="Times New Roman" w:hAnsi="Times New Roman" w:cs="Times New Roman"/>
          <w:sz w:val="24"/>
          <w:szCs w:val="24"/>
        </w:rPr>
        <w:t>can be conducted in accordance with the CCPA</w:t>
      </w:r>
      <w:r w:rsidR="00736C05">
        <w:rPr>
          <w:rFonts w:ascii="Times New Roman" w:hAnsi="Times New Roman" w:cs="Times New Roman"/>
          <w:sz w:val="24"/>
          <w:szCs w:val="24"/>
        </w:rPr>
        <w:t>, the CPRA Amendments and these Proposed Regulations,</w:t>
      </w:r>
      <w:r w:rsidR="00193677">
        <w:rPr>
          <w:rFonts w:ascii="Times New Roman" w:hAnsi="Times New Roman" w:cs="Times New Roman"/>
          <w:sz w:val="24"/>
          <w:szCs w:val="24"/>
        </w:rPr>
        <w:t xml:space="preserve"> </w:t>
      </w:r>
      <w:r w:rsidR="004B0EB9">
        <w:rPr>
          <w:rFonts w:ascii="Times New Roman" w:hAnsi="Times New Roman" w:cs="Times New Roman"/>
          <w:sz w:val="24"/>
          <w:szCs w:val="24"/>
        </w:rPr>
        <w:t xml:space="preserve">so </w:t>
      </w:r>
      <w:r w:rsidR="00193677">
        <w:rPr>
          <w:rFonts w:ascii="Times New Roman" w:hAnsi="Times New Roman" w:cs="Times New Roman"/>
          <w:sz w:val="24"/>
          <w:szCs w:val="24"/>
        </w:rPr>
        <w:t xml:space="preserve">that all </w:t>
      </w:r>
      <w:r>
        <w:rPr>
          <w:rFonts w:ascii="Times New Roman" w:hAnsi="Times New Roman" w:cs="Times New Roman"/>
          <w:sz w:val="24"/>
          <w:szCs w:val="24"/>
        </w:rPr>
        <w:t>test administrations</w:t>
      </w:r>
      <w:r w:rsidR="00575080">
        <w:rPr>
          <w:rFonts w:ascii="Times New Roman" w:hAnsi="Times New Roman" w:cs="Times New Roman"/>
          <w:sz w:val="24"/>
          <w:szCs w:val="24"/>
        </w:rPr>
        <w:t>, whether conducted in person or online,</w:t>
      </w:r>
      <w:r w:rsidR="0047583D">
        <w:rPr>
          <w:rFonts w:ascii="Times New Roman" w:hAnsi="Times New Roman" w:cs="Times New Roman"/>
          <w:sz w:val="24"/>
          <w:szCs w:val="24"/>
        </w:rPr>
        <w:t xml:space="preserve"> are fair to all test takers. I</w:t>
      </w:r>
      <w:r>
        <w:rPr>
          <w:rFonts w:ascii="Times New Roman" w:hAnsi="Times New Roman" w:cs="Times New Roman"/>
          <w:sz w:val="24"/>
          <w:szCs w:val="24"/>
        </w:rPr>
        <w:t>n so doing, a testing organization must be able to ensure th</w:t>
      </w:r>
      <w:r w:rsidR="00575080">
        <w:rPr>
          <w:rFonts w:ascii="Times New Roman" w:hAnsi="Times New Roman" w:cs="Times New Roman"/>
          <w:sz w:val="24"/>
          <w:szCs w:val="24"/>
        </w:rPr>
        <w:t xml:space="preserve">at an individual who </w:t>
      </w:r>
      <w:r>
        <w:rPr>
          <w:rFonts w:ascii="Times New Roman" w:hAnsi="Times New Roman" w:cs="Times New Roman"/>
          <w:sz w:val="24"/>
          <w:szCs w:val="24"/>
        </w:rPr>
        <w:t>take</w:t>
      </w:r>
      <w:r w:rsidR="00575080">
        <w:rPr>
          <w:rFonts w:ascii="Times New Roman" w:hAnsi="Times New Roman" w:cs="Times New Roman"/>
          <w:sz w:val="24"/>
          <w:szCs w:val="24"/>
        </w:rPr>
        <w:t>s</w:t>
      </w:r>
      <w:r>
        <w:rPr>
          <w:rFonts w:ascii="Times New Roman" w:hAnsi="Times New Roman" w:cs="Times New Roman"/>
          <w:sz w:val="24"/>
          <w:szCs w:val="24"/>
        </w:rPr>
        <w:t xml:space="preserve"> a test is in fact the same </w:t>
      </w:r>
      <w:r>
        <w:rPr>
          <w:rFonts w:ascii="Times New Roman" w:hAnsi="Times New Roman" w:cs="Times New Roman"/>
          <w:sz w:val="24"/>
          <w:szCs w:val="24"/>
        </w:rPr>
        <w:lastRenderedPageBreak/>
        <w:t>individual who is registered to take the test (with or without establishing that s/he is eligible to take the t</w:t>
      </w:r>
      <w:r w:rsidR="004F2DF6">
        <w:rPr>
          <w:rFonts w:ascii="Times New Roman" w:hAnsi="Times New Roman" w:cs="Times New Roman"/>
          <w:sz w:val="24"/>
          <w:szCs w:val="24"/>
        </w:rPr>
        <w:t>est).  F</w:t>
      </w:r>
      <w:r w:rsidR="00575080">
        <w:rPr>
          <w:rFonts w:ascii="Times New Roman" w:hAnsi="Times New Roman" w:cs="Times New Roman"/>
          <w:sz w:val="24"/>
          <w:szCs w:val="24"/>
        </w:rPr>
        <w:t xml:space="preserve">urthermore, </w:t>
      </w:r>
      <w:r w:rsidR="004F2DF6">
        <w:rPr>
          <w:rFonts w:ascii="Times New Roman" w:hAnsi="Times New Roman" w:cs="Times New Roman"/>
          <w:sz w:val="24"/>
          <w:szCs w:val="24"/>
        </w:rPr>
        <w:t>testing organizations must monitor</w:t>
      </w:r>
      <w:r w:rsidR="00575080">
        <w:rPr>
          <w:rFonts w:ascii="Times New Roman" w:hAnsi="Times New Roman" w:cs="Times New Roman"/>
          <w:sz w:val="24"/>
          <w:szCs w:val="24"/>
        </w:rPr>
        <w:t xml:space="preserve"> </w:t>
      </w:r>
      <w:r w:rsidR="004F2DF6">
        <w:rPr>
          <w:rFonts w:ascii="Times New Roman" w:hAnsi="Times New Roman" w:cs="Times New Roman"/>
          <w:sz w:val="24"/>
          <w:szCs w:val="24"/>
        </w:rPr>
        <w:t xml:space="preserve">testing events </w:t>
      </w:r>
      <w:r w:rsidR="00575080">
        <w:rPr>
          <w:rFonts w:ascii="Times New Roman" w:hAnsi="Times New Roman" w:cs="Times New Roman"/>
          <w:sz w:val="24"/>
          <w:szCs w:val="24"/>
        </w:rPr>
        <w:t>to ensure that</w:t>
      </w:r>
      <w:r>
        <w:rPr>
          <w:rFonts w:ascii="Times New Roman" w:hAnsi="Times New Roman" w:cs="Times New Roman"/>
          <w:sz w:val="24"/>
          <w:szCs w:val="24"/>
        </w:rPr>
        <w:t xml:space="preserve"> </w:t>
      </w:r>
      <w:r w:rsidR="008E5F9B">
        <w:rPr>
          <w:rFonts w:ascii="Times New Roman" w:hAnsi="Times New Roman" w:cs="Times New Roman"/>
          <w:sz w:val="24"/>
          <w:szCs w:val="24"/>
        </w:rPr>
        <w:t xml:space="preserve">administration </w:t>
      </w:r>
      <w:r>
        <w:rPr>
          <w:rFonts w:ascii="Times New Roman" w:hAnsi="Times New Roman" w:cs="Times New Roman"/>
          <w:sz w:val="24"/>
          <w:szCs w:val="24"/>
        </w:rPr>
        <w:t>irregularities which may have an adverse impact</w:t>
      </w:r>
      <w:r w:rsidR="004F2DF6">
        <w:rPr>
          <w:rFonts w:ascii="Times New Roman" w:hAnsi="Times New Roman" w:cs="Times New Roman"/>
          <w:sz w:val="24"/>
          <w:szCs w:val="24"/>
        </w:rPr>
        <w:t xml:space="preserve"> on every test taker are detected</w:t>
      </w:r>
      <w:r w:rsidR="00A90D2D">
        <w:rPr>
          <w:rFonts w:ascii="Times New Roman" w:hAnsi="Times New Roman" w:cs="Times New Roman"/>
          <w:sz w:val="24"/>
          <w:szCs w:val="24"/>
        </w:rPr>
        <w:t xml:space="preserve"> </w:t>
      </w:r>
      <w:r>
        <w:rPr>
          <w:rFonts w:ascii="Times New Roman" w:hAnsi="Times New Roman" w:cs="Times New Roman"/>
          <w:sz w:val="24"/>
          <w:szCs w:val="24"/>
        </w:rPr>
        <w:t>and handled in an appropriate manner</w:t>
      </w:r>
      <w:r>
        <w:t>.</w:t>
      </w:r>
      <w:r>
        <w:rPr>
          <w:rStyle w:val="FootnoteReference"/>
        </w:rPr>
        <w:footnoteReference w:id="3"/>
      </w:r>
      <w:r>
        <w:t xml:space="preserve">  </w:t>
      </w:r>
      <w:r>
        <w:rPr>
          <w:rFonts w:ascii="Times New Roman" w:hAnsi="Times New Roman" w:cs="Times New Roman"/>
          <w:sz w:val="24"/>
          <w:szCs w:val="24"/>
        </w:rPr>
        <w:t xml:space="preserve">Equally important, </w:t>
      </w:r>
      <w:r w:rsidR="00575080">
        <w:rPr>
          <w:rFonts w:ascii="Times New Roman" w:hAnsi="Times New Roman" w:cs="Times New Roman"/>
          <w:sz w:val="24"/>
          <w:szCs w:val="24"/>
        </w:rPr>
        <w:t>testing organizations seek to ensure that all personal information collected from test takers (i.e., “consumers”) is protected from unauthorized access</w:t>
      </w:r>
      <w:r w:rsidR="00CD18A6">
        <w:rPr>
          <w:rFonts w:ascii="Times New Roman" w:hAnsi="Times New Roman" w:cs="Times New Roman"/>
          <w:sz w:val="24"/>
          <w:szCs w:val="24"/>
        </w:rPr>
        <w:t xml:space="preserve"> and/or acquisition</w:t>
      </w:r>
      <w:r w:rsidR="00575080">
        <w:rPr>
          <w:rFonts w:ascii="Times New Roman" w:hAnsi="Times New Roman" w:cs="Times New Roman"/>
          <w:sz w:val="24"/>
          <w:szCs w:val="24"/>
        </w:rPr>
        <w:t>, and that all privacy-related requests from consumers are handled appropriately under the terms of the relevant laws.</w:t>
      </w:r>
      <w:r w:rsidR="00053975">
        <w:rPr>
          <w:rFonts w:ascii="Times New Roman" w:hAnsi="Times New Roman" w:cs="Times New Roman"/>
          <w:sz w:val="24"/>
          <w:szCs w:val="24"/>
        </w:rPr>
        <w:t xml:space="preserve">  For all of these reasons, the ATP submits that every high-stakes testing organization </w:t>
      </w:r>
      <w:r w:rsidR="00B9352D">
        <w:rPr>
          <w:rFonts w:ascii="Times New Roman" w:hAnsi="Times New Roman" w:cs="Times New Roman"/>
          <w:sz w:val="24"/>
          <w:szCs w:val="24"/>
        </w:rPr>
        <w:t>shares</w:t>
      </w:r>
      <w:r w:rsidR="00053975">
        <w:rPr>
          <w:rFonts w:ascii="Times New Roman" w:hAnsi="Times New Roman" w:cs="Times New Roman"/>
          <w:sz w:val="24"/>
          <w:szCs w:val="24"/>
        </w:rPr>
        <w:t xml:space="preserve"> </w:t>
      </w:r>
      <w:r w:rsidR="00053975">
        <w:rPr>
          <w:rFonts w:ascii="Times New Roman" w:eastAsia="Times New Roman" w:hAnsi="Times New Roman" w:cs="Times New Roman"/>
          <w:color w:val="222222"/>
          <w:sz w:val="24"/>
          <w:szCs w:val="24"/>
        </w:rPr>
        <w:t xml:space="preserve">the </w:t>
      </w:r>
      <w:r w:rsidR="00053975" w:rsidRPr="00DA521D">
        <w:rPr>
          <w:rFonts w:ascii="Times New Roman" w:eastAsia="Times New Roman" w:hAnsi="Times New Roman" w:cs="Times New Roman"/>
          <w:color w:val="222222"/>
          <w:sz w:val="24"/>
          <w:szCs w:val="24"/>
        </w:rPr>
        <w:t>following legitimate purposes</w:t>
      </w:r>
      <w:r w:rsidR="00053975">
        <w:rPr>
          <w:rFonts w:ascii="Times New Roman" w:eastAsia="Times New Roman" w:hAnsi="Times New Roman" w:cs="Times New Roman"/>
          <w:color w:val="222222"/>
          <w:sz w:val="24"/>
          <w:szCs w:val="24"/>
        </w:rPr>
        <w:t xml:space="preserve"> associated with the need for collecting and using the personal information of test takers</w:t>
      </w:r>
      <w:r w:rsidR="00053975" w:rsidRPr="00DA521D">
        <w:rPr>
          <w:rFonts w:ascii="Times New Roman" w:eastAsia="Times New Roman" w:hAnsi="Times New Roman" w:cs="Times New Roman"/>
          <w:color w:val="222222"/>
          <w:sz w:val="24"/>
          <w:szCs w:val="24"/>
        </w:rPr>
        <w:t xml:space="preserve">: </w:t>
      </w:r>
      <w:r w:rsidR="00053975">
        <w:rPr>
          <w:rFonts w:ascii="Times New Roman" w:eastAsia="Times New Roman" w:hAnsi="Times New Roman" w:cs="Times New Roman"/>
          <w:color w:val="222222"/>
          <w:sz w:val="24"/>
          <w:szCs w:val="24"/>
        </w:rPr>
        <w:t>(1) to ensure fairness in testing; (2)</w:t>
      </w:r>
      <w:r w:rsidR="00053975" w:rsidRPr="00DA521D">
        <w:rPr>
          <w:rFonts w:ascii="Times New Roman" w:eastAsia="Times New Roman" w:hAnsi="Times New Roman" w:cs="Times New Roman"/>
          <w:color w:val="222222"/>
          <w:sz w:val="24"/>
          <w:szCs w:val="24"/>
        </w:rPr>
        <w:t xml:space="preserve"> to prevent fraud </w:t>
      </w:r>
      <w:r w:rsidR="00053975">
        <w:rPr>
          <w:rFonts w:ascii="Times New Roman" w:eastAsia="Times New Roman" w:hAnsi="Times New Roman" w:cs="Times New Roman"/>
          <w:color w:val="222222"/>
          <w:sz w:val="24"/>
          <w:szCs w:val="24"/>
        </w:rPr>
        <w:t xml:space="preserve">(i.e., cheating) by individuals taking a secure test; </w:t>
      </w:r>
      <w:r w:rsidR="00053975" w:rsidRPr="00DA521D">
        <w:rPr>
          <w:rFonts w:ascii="Times New Roman" w:eastAsia="Times New Roman" w:hAnsi="Times New Roman" w:cs="Times New Roman"/>
          <w:color w:val="222222"/>
          <w:sz w:val="24"/>
          <w:szCs w:val="24"/>
        </w:rPr>
        <w:t xml:space="preserve">and </w:t>
      </w:r>
      <w:r w:rsidR="00053975">
        <w:rPr>
          <w:rFonts w:ascii="Times New Roman" w:eastAsia="Times New Roman" w:hAnsi="Times New Roman" w:cs="Times New Roman"/>
          <w:color w:val="222222"/>
          <w:sz w:val="24"/>
          <w:szCs w:val="24"/>
        </w:rPr>
        <w:t xml:space="preserve">(3) </w:t>
      </w:r>
      <w:r w:rsidR="00053975" w:rsidRPr="00DA521D">
        <w:rPr>
          <w:rFonts w:ascii="Times New Roman" w:eastAsia="Times New Roman" w:hAnsi="Times New Roman" w:cs="Times New Roman"/>
          <w:color w:val="222222"/>
          <w:sz w:val="24"/>
          <w:szCs w:val="24"/>
        </w:rPr>
        <w:t xml:space="preserve">to protect proprietary </w:t>
      </w:r>
      <w:r w:rsidR="00053975">
        <w:rPr>
          <w:rFonts w:ascii="Times New Roman" w:eastAsia="Times New Roman" w:hAnsi="Times New Roman" w:cs="Times New Roman"/>
          <w:color w:val="222222"/>
          <w:sz w:val="24"/>
          <w:szCs w:val="24"/>
        </w:rPr>
        <w:t xml:space="preserve">(and often copyrighted) secure “high stakes” </w:t>
      </w:r>
      <w:r w:rsidR="00053975" w:rsidRPr="00DA521D">
        <w:rPr>
          <w:rFonts w:ascii="Times New Roman" w:eastAsia="Times New Roman" w:hAnsi="Times New Roman" w:cs="Times New Roman"/>
          <w:color w:val="222222"/>
          <w:sz w:val="24"/>
          <w:szCs w:val="24"/>
        </w:rPr>
        <w:t>test items</w:t>
      </w:r>
      <w:r w:rsidR="00053975">
        <w:rPr>
          <w:rFonts w:ascii="Times New Roman" w:eastAsia="Times New Roman" w:hAnsi="Times New Roman" w:cs="Times New Roman"/>
          <w:color w:val="222222"/>
          <w:sz w:val="24"/>
          <w:szCs w:val="24"/>
        </w:rPr>
        <w:t xml:space="preserve"> from being stolen </w:t>
      </w:r>
      <w:r w:rsidR="006F6E62">
        <w:rPr>
          <w:rFonts w:ascii="Times New Roman" w:eastAsia="Times New Roman" w:hAnsi="Times New Roman" w:cs="Times New Roman"/>
          <w:color w:val="222222"/>
          <w:sz w:val="24"/>
          <w:szCs w:val="24"/>
        </w:rPr>
        <w:t>by test takers and illegally distributed to future test takers</w:t>
      </w:r>
      <w:r w:rsidR="00DA13AD">
        <w:rPr>
          <w:rFonts w:ascii="Times New Roman" w:eastAsia="Times New Roman" w:hAnsi="Times New Roman" w:cs="Times New Roman"/>
          <w:color w:val="222222"/>
          <w:sz w:val="24"/>
          <w:szCs w:val="24"/>
        </w:rPr>
        <w:t>.</w:t>
      </w:r>
    </w:p>
    <w:p w14:paraId="632C1B89" w14:textId="48A6CAAD" w:rsidR="006D4A3C" w:rsidRDefault="00575080" w:rsidP="003106B6">
      <w:pPr>
        <w:ind w:firstLine="720"/>
        <w:rPr>
          <w:rFonts w:ascii="Times New Roman" w:hAnsi="Times New Roman" w:cs="Times New Roman"/>
          <w:sz w:val="24"/>
          <w:szCs w:val="24"/>
        </w:rPr>
      </w:pPr>
      <w:r>
        <w:rPr>
          <w:rFonts w:ascii="Times New Roman" w:hAnsi="Times New Roman" w:cs="Times New Roman"/>
          <w:sz w:val="24"/>
          <w:szCs w:val="24"/>
        </w:rPr>
        <w:t>Consistent with the</w:t>
      </w:r>
      <w:r w:rsidR="003418D7">
        <w:rPr>
          <w:rFonts w:ascii="Times New Roman" w:hAnsi="Times New Roman" w:cs="Times New Roman"/>
          <w:sz w:val="24"/>
          <w:szCs w:val="24"/>
        </w:rPr>
        <w:t xml:space="preserve"> </w:t>
      </w:r>
      <w:r w:rsidR="00CD18C2">
        <w:rPr>
          <w:rFonts w:ascii="Times New Roman" w:hAnsi="Times New Roman" w:cs="Times New Roman"/>
          <w:sz w:val="24"/>
          <w:szCs w:val="24"/>
        </w:rPr>
        <w:t xml:space="preserve">above objectives, the ATP </w:t>
      </w:r>
      <w:r w:rsidR="003418D7">
        <w:rPr>
          <w:rFonts w:ascii="Times New Roman" w:hAnsi="Times New Roman" w:cs="Times New Roman"/>
          <w:sz w:val="24"/>
          <w:szCs w:val="24"/>
        </w:rPr>
        <w:t>note</w:t>
      </w:r>
      <w:r w:rsidR="00CD18C2">
        <w:rPr>
          <w:rFonts w:ascii="Times New Roman" w:hAnsi="Times New Roman" w:cs="Times New Roman"/>
          <w:sz w:val="24"/>
          <w:szCs w:val="24"/>
        </w:rPr>
        <w:t>s</w:t>
      </w:r>
      <w:r w:rsidR="003418D7">
        <w:rPr>
          <w:rFonts w:ascii="Times New Roman" w:hAnsi="Times New Roman" w:cs="Times New Roman"/>
          <w:sz w:val="24"/>
          <w:szCs w:val="24"/>
        </w:rPr>
        <w:t xml:space="preserve"> </w:t>
      </w:r>
      <w:r>
        <w:rPr>
          <w:rFonts w:ascii="Times New Roman" w:hAnsi="Times New Roman" w:cs="Times New Roman"/>
          <w:sz w:val="24"/>
          <w:szCs w:val="24"/>
        </w:rPr>
        <w:t>that man</w:t>
      </w:r>
      <w:r w:rsidR="003418D7">
        <w:rPr>
          <w:rFonts w:ascii="Times New Roman" w:hAnsi="Times New Roman" w:cs="Times New Roman"/>
          <w:sz w:val="24"/>
          <w:szCs w:val="24"/>
        </w:rPr>
        <w:t xml:space="preserve">y </w:t>
      </w:r>
      <w:r w:rsidR="00CD18A6">
        <w:rPr>
          <w:rFonts w:ascii="Times New Roman" w:hAnsi="Times New Roman" w:cs="Times New Roman"/>
          <w:sz w:val="24"/>
          <w:szCs w:val="24"/>
        </w:rPr>
        <w:t>high</w:t>
      </w:r>
      <w:r w:rsidR="00F94232">
        <w:rPr>
          <w:rFonts w:ascii="Times New Roman" w:hAnsi="Times New Roman" w:cs="Times New Roman"/>
          <w:sz w:val="24"/>
          <w:szCs w:val="24"/>
        </w:rPr>
        <w:t>-</w:t>
      </w:r>
      <w:r w:rsidR="00CD18A6">
        <w:rPr>
          <w:rFonts w:ascii="Times New Roman" w:hAnsi="Times New Roman" w:cs="Times New Roman"/>
          <w:sz w:val="24"/>
          <w:szCs w:val="24"/>
        </w:rPr>
        <w:t xml:space="preserve">stakes </w:t>
      </w:r>
      <w:r>
        <w:rPr>
          <w:rFonts w:ascii="Times New Roman" w:hAnsi="Times New Roman" w:cs="Times New Roman"/>
          <w:sz w:val="24"/>
          <w:szCs w:val="24"/>
        </w:rPr>
        <w:t>t</w:t>
      </w:r>
      <w:r w:rsidR="003418D7">
        <w:rPr>
          <w:rFonts w:ascii="Times New Roman" w:hAnsi="Times New Roman" w:cs="Times New Roman"/>
          <w:sz w:val="24"/>
          <w:szCs w:val="24"/>
        </w:rPr>
        <w:t xml:space="preserve">esting programs </w:t>
      </w:r>
      <w:r>
        <w:rPr>
          <w:rFonts w:ascii="Times New Roman" w:hAnsi="Times New Roman" w:cs="Times New Roman"/>
          <w:sz w:val="24"/>
          <w:szCs w:val="24"/>
        </w:rPr>
        <w:t>are national in scope</w:t>
      </w:r>
      <w:r w:rsidR="003418D7">
        <w:rPr>
          <w:rFonts w:ascii="Times New Roman" w:hAnsi="Times New Roman" w:cs="Times New Roman"/>
          <w:sz w:val="24"/>
          <w:szCs w:val="24"/>
        </w:rPr>
        <w:t>, drawing test takers from every state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For ease of business operation</w:t>
      </w:r>
      <w:r w:rsidR="006F6E62">
        <w:rPr>
          <w:rFonts w:ascii="Times New Roman" w:hAnsi="Times New Roman" w:cs="Times New Roman"/>
          <w:sz w:val="24"/>
          <w:szCs w:val="24"/>
        </w:rPr>
        <w:t>s</w:t>
      </w:r>
      <w:r>
        <w:rPr>
          <w:rFonts w:ascii="Times New Roman" w:hAnsi="Times New Roman" w:cs="Times New Roman"/>
          <w:sz w:val="24"/>
          <w:szCs w:val="24"/>
        </w:rPr>
        <w:t xml:space="preserve">, ATP Members often adopt a uniform Privacy Policy to meet the needs of all test </w:t>
      </w:r>
      <w:r w:rsidR="006F6E62">
        <w:rPr>
          <w:rFonts w:ascii="Times New Roman" w:hAnsi="Times New Roman" w:cs="Times New Roman"/>
          <w:sz w:val="24"/>
          <w:szCs w:val="24"/>
        </w:rPr>
        <w:t>takers across the United States.  G</w:t>
      </w:r>
      <w:r>
        <w:rPr>
          <w:rFonts w:ascii="Times New Roman" w:hAnsi="Times New Roman" w:cs="Times New Roman"/>
          <w:sz w:val="24"/>
          <w:szCs w:val="24"/>
        </w:rPr>
        <w:t xml:space="preserve">iven </w:t>
      </w:r>
      <w:r w:rsidR="00FA7283">
        <w:rPr>
          <w:rFonts w:ascii="Times New Roman" w:hAnsi="Times New Roman" w:cs="Times New Roman"/>
          <w:sz w:val="24"/>
          <w:szCs w:val="24"/>
        </w:rPr>
        <w:t xml:space="preserve">that the CCPA has been in effect, </w:t>
      </w:r>
      <w:r>
        <w:rPr>
          <w:rFonts w:ascii="Times New Roman" w:hAnsi="Times New Roman" w:cs="Times New Roman"/>
          <w:sz w:val="24"/>
          <w:szCs w:val="24"/>
        </w:rPr>
        <w:t>we understand that many testing organizations have already modified their privacy policies to meet the</w:t>
      </w:r>
      <w:r w:rsidR="006F559C">
        <w:rPr>
          <w:rFonts w:ascii="Times New Roman" w:hAnsi="Times New Roman" w:cs="Times New Roman"/>
          <w:sz w:val="24"/>
          <w:szCs w:val="24"/>
        </w:rPr>
        <w:t xml:space="preserve"> CCPA </w:t>
      </w:r>
      <w:r>
        <w:rPr>
          <w:rFonts w:ascii="Times New Roman" w:hAnsi="Times New Roman" w:cs="Times New Roman"/>
          <w:sz w:val="24"/>
          <w:szCs w:val="24"/>
        </w:rPr>
        <w:t xml:space="preserve">requirements. Thus, it is very important </w:t>
      </w:r>
      <w:r w:rsidR="00F94232">
        <w:rPr>
          <w:rFonts w:ascii="Times New Roman" w:hAnsi="Times New Roman" w:cs="Times New Roman"/>
          <w:sz w:val="24"/>
          <w:szCs w:val="24"/>
        </w:rPr>
        <w:t>for</w:t>
      </w:r>
      <w:r>
        <w:rPr>
          <w:rFonts w:ascii="Times New Roman" w:hAnsi="Times New Roman" w:cs="Times New Roman"/>
          <w:sz w:val="24"/>
          <w:szCs w:val="24"/>
        </w:rPr>
        <w:t xml:space="preserve"> ATP Members </w:t>
      </w:r>
      <w:r w:rsidR="00F94232">
        <w:rPr>
          <w:rFonts w:ascii="Times New Roman" w:hAnsi="Times New Roman" w:cs="Times New Roman"/>
          <w:sz w:val="24"/>
          <w:szCs w:val="24"/>
        </w:rPr>
        <w:t xml:space="preserve">to </w:t>
      </w:r>
      <w:r w:rsidR="006A2F76">
        <w:rPr>
          <w:rFonts w:ascii="Times New Roman" w:hAnsi="Times New Roman" w:cs="Times New Roman"/>
          <w:sz w:val="24"/>
          <w:szCs w:val="24"/>
        </w:rPr>
        <w:t xml:space="preserve">continue </w:t>
      </w:r>
      <w:r>
        <w:rPr>
          <w:rFonts w:ascii="Times New Roman" w:hAnsi="Times New Roman" w:cs="Times New Roman"/>
          <w:sz w:val="24"/>
          <w:szCs w:val="24"/>
        </w:rPr>
        <w:t>to be able to manage their operations to address all aspects of the CCPA</w:t>
      </w:r>
      <w:r w:rsidR="003418D7">
        <w:rPr>
          <w:rFonts w:ascii="Times New Roman" w:hAnsi="Times New Roman" w:cs="Times New Roman"/>
          <w:sz w:val="24"/>
          <w:szCs w:val="24"/>
        </w:rPr>
        <w:t xml:space="preserve"> </w:t>
      </w:r>
      <w:r w:rsidR="006F559C">
        <w:rPr>
          <w:rFonts w:ascii="Times New Roman" w:hAnsi="Times New Roman" w:cs="Times New Roman"/>
          <w:sz w:val="24"/>
          <w:szCs w:val="24"/>
        </w:rPr>
        <w:t>and CPRA</w:t>
      </w:r>
      <w:r w:rsidR="008B7EE8">
        <w:rPr>
          <w:rFonts w:ascii="Times New Roman" w:hAnsi="Times New Roman" w:cs="Times New Roman"/>
          <w:sz w:val="24"/>
          <w:szCs w:val="24"/>
        </w:rPr>
        <w:t>,</w:t>
      </w:r>
      <w:r w:rsidR="006F559C">
        <w:rPr>
          <w:rFonts w:ascii="Times New Roman" w:hAnsi="Times New Roman" w:cs="Times New Roman"/>
          <w:sz w:val="24"/>
          <w:szCs w:val="24"/>
        </w:rPr>
        <w:t xml:space="preserve"> </w:t>
      </w:r>
      <w:r w:rsidR="003418D7">
        <w:rPr>
          <w:rFonts w:ascii="Times New Roman" w:hAnsi="Times New Roman" w:cs="Times New Roman"/>
          <w:sz w:val="24"/>
          <w:szCs w:val="24"/>
        </w:rPr>
        <w:t>while complying with other applicable state privacy laws</w:t>
      </w:r>
      <w:r>
        <w:rPr>
          <w:rFonts w:ascii="Times New Roman" w:hAnsi="Times New Roman" w:cs="Times New Roman"/>
          <w:sz w:val="24"/>
          <w:szCs w:val="24"/>
        </w:rPr>
        <w:t xml:space="preserve">.  Through </w:t>
      </w:r>
      <w:r w:rsidR="008B7EE8">
        <w:rPr>
          <w:rFonts w:ascii="Times New Roman" w:hAnsi="Times New Roman" w:cs="Times New Roman"/>
          <w:sz w:val="24"/>
          <w:szCs w:val="24"/>
        </w:rPr>
        <w:t>these</w:t>
      </w:r>
      <w:r>
        <w:rPr>
          <w:rFonts w:ascii="Times New Roman" w:hAnsi="Times New Roman" w:cs="Times New Roman"/>
          <w:sz w:val="24"/>
          <w:szCs w:val="24"/>
        </w:rPr>
        <w:t xml:space="preserve"> comments, the ATP has addressed testing-specific issues to highlight interpretations and recommended ways to modify the Proposed Regulations.</w:t>
      </w:r>
    </w:p>
    <w:p w14:paraId="6884E4F7" w14:textId="77777777" w:rsidR="00575080" w:rsidRDefault="00030ABD" w:rsidP="00575080">
      <w:pPr>
        <w:rPr>
          <w:rFonts w:ascii="Times New Roman" w:hAnsi="Times New Roman" w:cs="Times New Roman"/>
          <w:sz w:val="24"/>
          <w:szCs w:val="24"/>
        </w:rPr>
      </w:pPr>
      <w:r>
        <w:rPr>
          <w:rFonts w:ascii="Times New Roman" w:hAnsi="Times New Roman" w:cs="Times New Roman"/>
          <w:b/>
          <w:sz w:val="24"/>
          <w:szCs w:val="24"/>
          <w:u w:val="single"/>
        </w:rPr>
        <w:t>General Background – R</w:t>
      </w:r>
      <w:r w:rsidR="00CD18C2">
        <w:rPr>
          <w:rFonts w:ascii="Times New Roman" w:hAnsi="Times New Roman" w:cs="Times New Roman"/>
          <w:b/>
          <w:sz w:val="24"/>
          <w:szCs w:val="24"/>
          <w:u w:val="single"/>
        </w:rPr>
        <w:t>oles and Respo</w:t>
      </w:r>
      <w:r w:rsidR="00575080">
        <w:rPr>
          <w:rFonts w:ascii="Times New Roman" w:hAnsi="Times New Roman" w:cs="Times New Roman"/>
          <w:b/>
          <w:sz w:val="24"/>
          <w:szCs w:val="24"/>
          <w:u w:val="single"/>
        </w:rPr>
        <w:t>nsibilities</w:t>
      </w:r>
      <w:r w:rsidR="003418D7">
        <w:rPr>
          <w:rFonts w:ascii="Times New Roman" w:hAnsi="Times New Roman" w:cs="Times New Roman"/>
          <w:b/>
          <w:sz w:val="24"/>
          <w:szCs w:val="24"/>
          <w:u w:val="single"/>
        </w:rPr>
        <w:t xml:space="preserve"> in Testing</w:t>
      </w:r>
      <w:r w:rsidR="00575080">
        <w:rPr>
          <w:rFonts w:ascii="Times New Roman" w:hAnsi="Times New Roman" w:cs="Times New Roman"/>
          <w:b/>
          <w:sz w:val="24"/>
          <w:szCs w:val="24"/>
          <w:u w:val="single"/>
        </w:rPr>
        <w:t xml:space="preserve"> </w:t>
      </w:r>
    </w:p>
    <w:p w14:paraId="4D50C161" w14:textId="1F59757A" w:rsidR="008D5888" w:rsidRPr="009C39DB" w:rsidRDefault="00575080" w:rsidP="009C39DB">
      <w:pPr>
        <w:ind w:firstLine="720"/>
        <w:rPr>
          <w:rFonts w:ascii="Times New Roman" w:hAnsi="Times New Roman" w:cs="Times New Roman"/>
          <w:sz w:val="24"/>
          <w:szCs w:val="24"/>
        </w:rPr>
      </w:pPr>
      <w:r>
        <w:rPr>
          <w:rFonts w:ascii="Times New Roman" w:hAnsi="Times New Roman" w:cs="Times New Roman"/>
          <w:sz w:val="24"/>
          <w:szCs w:val="24"/>
        </w:rPr>
        <w:t>At the outset,</w:t>
      </w:r>
      <w:r w:rsidR="005C05DD">
        <w:rPr>
          <w:rFonts w:ascii="Times New Roman" w:hAnsi="Times New Roman" w:cs="Times New Roman"/>
          <w:sz w:val="24"/>
          <w:szCs w:val="24"/>
        </w:rPr>
        <w:t xml:space="preserve"> </w:t>
      </w:r>
      <w:r w:rsidR="00633B38">
        <w:rPr>
          <w:rFonts w:ascii="Times New Roman" w:hAnsi="Times New Roman" w:cs="Times New Roman"/>
          <w:sz w:val="24"/>
          <w:szCs w:val="24"/>
        </w:rPr>
        <w:t>the ATP needs to point out</w:t>
      </w:r>
      <w:r>
        <w:rPr>
          <w:rFonts w:ascii="Times New Roman" w:hAnsi="Times New Roman" w:cs="Times New Roman"/>
          <w:sz w:val="24"/>
          <w:szCs w:val="24"/>
        </w:rPr>
        <w:t xml:space="preserve"> </w:t>
      </w:r>
      <w:r w:rsidR="003418D7">
        <w:rPr>
          <w:rFonts w:ascii="Times New Roman" w:hAnsi="Times New Roman" w:cs="Times New Roman"/>
          <w:sz w:val="24"/>
          <w:szCs w:val="24"/>
        </w:rPr>
        <w:t xml:space="preserve">that </w:t>
      </w:r>
      <w:r w:rsidR="005C05DD">
        <w:rPr>
          <w:rFonts w:ascii="Times New Roman" w:hAnsi="Times New Roman" w:cs="Times New Roman"/>
          <w:sz w:val="24"/>
          <w:szCs w:val="24"/>
        </w:rPr>
        <w:t xml:space="preserve">a </w:t>
      </w:r>
      <w:r w:rsidR="006E1A75">
        <w:rPr>
          <w:rFonts w:ascii="Times New Roman" w:hAnsi="Times New Roman" w:cs="Times New Roman"/>
          <w:sz w:val="24"/>
          <w:szCs w:val="24"/>
        </w:rPr>
        <w:t>major</w:t>
      </w:r>
      <w:r w:rsidR="005C05DD">
        <w:rPr>
          <w:rFonts w:ascii="Times New Roman" w:hAnsi="Times New Roman" w:cs="Times New Roman"/>
          <w:sz w:val="24"/>
          <w:szCs w:val="24"/>
        </w:rPr>
        <w:t>ity</w:t>
      </w:r>
      <w:r w:rsidR="008E2FBE">
        <w:rPr>
          <w:rFonts w:ascii="Times New Roman" w:hAnsi="Times New Roman" w:cs="Times New Roman"/>
          <w:sz w:val="24"/>
          <w:szCs w:val="24"/>
        </w:rPr>
        <w:t xml:space="preserve"> of </w:t>
      </w:r>
      <w:r w:rsidR="003418D7">
        <w:rPr>
          <w:rFonts w:ascii="Times New Roman" w:hAnsi="Times New Roman" w:cs="Times New Roman"/>
          <w:sz w:val="24"/>
          <w:szCs w:val="24"/>
        </w:rPr>
        <w:t xml:space="preserve">the </w:t>
      </w:r>
      <w:r w:rsidR="00CD18A6">
        <w:rPr>
          <w:rFonts w:ascii="Times New Roman" w:hAnsi="Times New Roman" w:cs="Times New Roman"/>
          <w:sz w:val="24"/>
          <w:szCs w:val="24"/>
        </w:rPr>
        <w:t xml:space="preserve">high stakes </w:t>
      </w:r>
      <w:r w:rsidR="003418D7">
        <w:rPr>
          <w:rFonts w:ascii="Times New Roman" w:hAnsi="Times New Roman" w:cs="Times New Roman"/>
          <w:sz w:val="24"/>
          <w:szCs w:val="24"/>
        </w:rPr>
        <w:t>testi</w:t>
      </w:r>
      <w:r w:rsidR="005C05DD">
        <w:rPr>
          <w:rFonts w:ascii="Times New Roman" w:hAnsi="Times New Roman" w:cs="Times New Roman"/>
          <w:sz w:val="24"/>
          <w:szCs w:val="24"/>
        </w:rPr>
        <w:t xml:space="preserve">ng programs </w:t>
      </w:r>
      <w:r w:rsidR="00CD36C3">
        <w:rPr>
          <w:rFonts w:ascii="Times New Roman" w:hAnsi="Times New Roman" w:cs="Times New Roman"/>
          <w:sz w:val="24"/>
          <w:szCs w:val="24"/>
        </w:rPr>
        <w:t xml:space="preserve">(e.g., in employment, education, </w:t>
      </w:r>
      <w:r w:rsidR="00DD03C0">
        <w:rPr>
          <w:rFonts w:ascii="Times New Roman" w:hAnsi="Times New Roman" w:cs="Times New Roman"/>
          <w:sz w:val="24"/>
          <w:szCs w:val="24"/>
        </w:rPr>
        <w:t xml:space="preserve">certification/licensure) </w:t>
      </w:r>
      <w:r w:rsidR="00CD18A6">
        <w:rPr>
          <w:rFonts w:ascii="Times New Roman" w:hAnsi="Times New Roman" w:cs="Times New Roman"/>
          <w:sz w:val="24"/>
          <w:szCs w:val="24"/>
        </w:rPr>
        <w:t xml:space="preserve">do NOT rely on a </w:t>
      </w:r>
      <w:r w:rsidR="00CD18C2">
        <w:rPr>
          <w:rFonts w:ascii="Times New Roman" w:hAnsi="Times New Roman" w:cs="Times New Roman"/>
          <w:sz w:val="24"/>
          <w:szCs w:val="24"/>
        </w:rPr>
        <w:t>traditional two-party business relationship</w:t>
      </w:r>
      <w:r>
        <w:rPr>
          <w:rFonts w:ascii="Times New Roman" w:hAnsi="Times New Roman" w:cs="Times New Roman"/>
          <w:sz w:val="24"/>
          <w:szCs w:val="24"/>
        </w:rPr>
        <w:t>, where a consumer has a direct relationship to the business that is selling goods or services</w:t>
      </w:r>
      <w:r w:rsidR="00CD18C2">
        <w:rPr>
          <w:rFonts w:ascii="Times New Roman" w:hAnsi="Times New Roman" w:cs="Times New Roman"/>
          <w:sz w:val="24"/>
          <w:szCs w:val="24"/>
        </w:rPr>
        <w:t xml:space="preserve"> (e.g., going into a store or online to make a purchase directly from a </w:t>
      </w:r>
      <w:r w:rsidR="00CD18C2">
        <w:rPr>
          <w:rFonts w:ascii="Times New Roman" w:hAnsi="Times New Roman" w:cs="Times New Roman"/>
          <w:sz w:val="24"/>
          <w:szCs w:val="24"/>
        </w:rPr>
        <w:lastRenderedPageBreak/>
        <w:t>seller)</w:t>
      </w:r>
      <w:r>
        <w:rPr>
          <w:rFonts w:ascii="Times New Roman" w:hAnsi="Times New Roman" w:cs="Times New Roman"/>
          <w:sz w:val="24"/>
          <w:szCs w:val="24"/>
        </w:rPr>
        <w:t xml:space="preserve">.  </w:t>
      </w:r>
      <w:r w:rsidR="00C01A4A">
        <w:rPr>
          <w:rFonts w:ascii="Times New Roman" w:hAnsi="Times New Roman" w:cs="Times New Roman"/>
          <w:sz w:val="24"/>
          <w:szCs w:val="24"/>
        </w:rPr>
        <w:t>To accomplish smoothly functioning and efficient operations to serve their custo</w:t>
      </w:r>
      <w:r w:rsidR="000B33A3">
        <w:rPr>
          <w:rFonts w:ascii="Times New Roman" w:hAnsi="Times New Roman" w:cs="Times New Roman"/>
          <w:sz w:val="24"/>
          <w:szCs w:val="24"/>
        </w:rPr>
        <w:t xml:space="preserve">mers, many </w:t>
      </w:r>
      <w:r w:rsidR="005C05DD">
        <w:rPr>
          <w:rFonts w:ascii="Times New Roman" w:hAnsi="Times New Roman" w:cs="Times New Roman"/>
          <w:sz w:val="24"/>
          <w:szCs w:val="24"/>
        </w:rPr>
        <w:t>testing organiz</w:t>
      </w:r>
      <w:r w:rsidR="00E80A4E">
        <w:rPr>
          <w:rFonts w:ascii="Times New Roman" w:hAnsi="Times New Roman" w:cs="Times New Roman"/>
          <w:sz w:val="24"/>
          <w:szCs w:val="24"/>
        </w:rPr>
        <w:t>ations have segmented</w:t>
      </w:r>
      <w:r w:rsidR="000B33A3">
        <w:rPr>
          <w:rFonts w:ascii="Times New Roman" w:hAnsi="Times New Roman" w:cs="Times New Roman"/>
          <w:sz w:val="24"/>
          <w:szCs w:val="24"/>
        </w:rPr>
        <w:t xml:space="preserve"> their operations </w:t>
      </w:r>
      <w:r w:rsidR="00E80A4E">
        <w:rPr>
          <w:rFonts w:ascii="Times New Roman" w:hAnsi="Times New Roman" w:cs="Times New Roman"/>
          <w:sz w:val="24"/>
          <w:szCs w:val="24"/>
        </w:rPr>
        <w:t xml:space="preserve">into </w:t>
      </w:r>
      <w:r w:rsidR="003418D7">
        <w:rPr>
          <w:rFonts w:ascii="Times New Roman" w:hAnsi="Times New Roman" w:cs="Times New Roman"/>
          <w:sz w:val="24"/>
          <w:szCs w:val="24"/>
        </w:rPr>
        <w:t xml:space="preserve">two or more </w:t>
      </w:r>
      <w:r>
        <w:rPr>
          <w:rFonts w:ascii="Times New Roman" w:hAnsi="Times New Roman" w:cs="Times New Roman"/>
          <w:sz w:val="24"/>
          <w:szCs w:val="24"/>
        </w:rPr>
        <w:t xml:space="preserve">diverse roles in the provision </w:t>
      </w:r>
      <w:r w:rsidR="00E80A4E">
        <w:rPr>
          <w:rFonts w:ascii="Times New Roman" w:hAnsi="Times New Roman" w:cs="Times New Roman"/>
          <w:sz w:val="24"/>
          <w:szCs w:val="24"/>
        </w:rPr>
        <w:t xml:space="preserve">of testing services: one </w:t>
      </w:r>
      <w:r>
        <w:rPr>
          <w:rFonts w:ascii="Times New Roman" w:hAnsi="Times New Roman" w:cs="Times New Roman"/>
          <w:sz w:val="24"/>
          <w:szCs w:val="24"/>
        </w:rPr>
        <w:t>entit</w:t>
      </w:r>
      <w:r w:rsidR="00CD18C2">
        <w:rPr>
          <w:rFonts w:ascii="Times New Roman" w:hAnsi="Times New Roman" w:cs="Times New Roman"/>
          <w:sz w:val="24"/>
          <w:szCs w:val="24"/>
        </w:rPr>
        <w:t xml:space="preserve">y that owns the test </w:t>
      </w:r>
      <w:r w:rsidR="004F2DF6">
        <w:rPr>
          <w:rFonts w:ascii="Times New Roman" w:hAnsi="Times New Roman" w:cs="Times New Roman"/>
          <w:sz w:val="24"/>
          <w:szCs w:val="24"/>
        </w:rPr>
        <w:t>(that may have developed the test or</w:t>
      </w:r>
      <w:r w:rsidR="00CD18A6">
        <w:rPr>
          <w:rFonts w:ascii="Times New Roman" w:hAnsi="Times New Roman" w:cs="Times New Roman"/>
          <w:sz w:val="24"/>
          <w:szCs w:val="24"/>
        </w:rPr>
        <w:t xml:space="preserve"> contracted for its development)</w:t>
      </w:r>
      <w:r>
        <w:rPr>
          <w:rFonts w:ascii="Times New Roman" w:hAnsi="Times New Roman" w:cs="Times New Roman"/>
          <w:sz w:val="24"/>
          <w:szCs w:val="24"/>
        </w:rPr>
        <w:t xml:space="preserve"> </w:t>
      </w:r>
      <w:r w:rsidR="004F2DF6">
        <w:rPr>
          <w:rFonts w:ascii="Times New Roman" w:hAnsi="Times New Roman" w:cs="Times New Roman"/>
          <w:sz w:val="24"/>
          <w:szCs w:val="24"/>
        </w:rPr>
        <w:t xml:space="preserve">and </w:t>
      </w:r>
      <w:r w:rsidR="00CD18C2">
        <w:rPr>
          <w:rFonts w:ascii="Times New Roman" w:hAnsi="Times New Roman" w:cs="Times New Roman"/>
          <w:sz w:val="24"/>
          <w:szCs w:val="24"/>
        </w:rPr>
        <w:t xml:space="preserve">makes </w:t>
      </w:r>
      <w:r w:rsidR="003E11AB">
        <w:rPr>
          <w:rFonts w:ascii="Times New Roman" w:hAnsi="Times New Roman" w:cs="Times New Roman"/>
          <w:sz w:val="24"/>
          <w:szCs w:val="24"/>
        </w:rPr>
        <w:t xml:space="preserve">all of </w:t>
      </w:r>
      <w:r w:rsidR="004F2DF6">
        <w:rPr>
          <w:rFonts w:ascii="Times New Roman" w:hAnsi="Times New Roman" w:cs="Times New Roman"/>
          <w:sz w:val="24"/>
          <w:szCs w:val="24"/>
        </w:rPr>
        <w:t xml:space="preserve">the </w:t>
      </w:r>
      <w:r>
        <w:rPr>
          <w:rFonts w:ascii="Times New Roman" w:hAnsi="Times New Roman" w:cs="Times New Roman"/>
          <w:sz w:val="24"/>
          <w:szCs w:val="24"/>
        </w:rPr>
        <w:t>decisions about how to use any personal information obtained from an individual</w:t>
      </w:r>
      <w:r w:rsidR="004F2DF6">
        <w:rPr>
          <w:rFonts w:ascii="Times New Roman" w:hAnsi="Times New Roman" w:cs="Times New Roman"/>
          <w:sz w:val="24"/>
          <w:szCs w:val="24"/>
        </w:rPr>
        <w:t xml:space="preserve"> test taker; and one or more</w:t>
      </w:r>
      <w:r w:rsidR="00CD18C2">
        <w:rPr>
          <w:rFonts w:ascii="Times New Roman" w:hAnsi="Times New Roman" w:cs="Times New Roman"/>
          <w:sz w:val="24"/>
          <w:szCs w:val="24"/>
        </w:rPr>
        <w:t xml:space="preserve"> second</w:t>
      </w:r>
      <w:r w:rsidR="004F2DF6">
        <w:rPr>
          <w:rFonts w:ascii="Times New Roman" w:hAnsi="Times New Roman" w:cs="Times New Roman"/>
          <w:sz w:val="24"/>
          <w:szCs w:val="24"/>
        </w:rPr>
        <w:t>ary</w:t>
      </w:r>
      <w:r w:rsidR="00CD18C2">
        <w:rPr>
          <w:rFonts w:ascii="Times New Roman" w:hAnsi="Times New Roman" w:cs="Times New Roman"/>
          <w:sz w:val="24"/>
          <w:szCs w:val="24"/>
        </w:rPr>
        <w:t xml:space="preserve"> </w:t>
      </w:r>
      <w:r w:rsidR="004F2DF6">
        <w:rPr>
          <w:rFonts w:ascii="Times New Roman" w:hAnsi="Times New Roman" w:cs="Times New Roman"/>
          <w:sz w:val="24"/>
          <w:szCs w:val="24"/>
        </w:rPr>
        <w:t>entities</w:t>
      </w:r>
      <w:r>
        <w:rPr>
          <w:rFonts w:ascii="Times New Roman" w:hAnsi="Times New Roman" w:cs="Times New Roman"/>
          <w:sz w:val="24"/>
          <w:szCs w:val="24"/>
        </w:rPr>
        <w:t xml:space="preserve"> that ac</w:t>
      </w:r>
      <w:r w:rsidR="004F2DF6">
        <w:rPr>
          <w:rFonts w:ascii="Times New Roman" w:hAnsi="Times New Roman" w:cs="Times New Roman"/>
          <w:sz w:val="24"/>
          <w:szCs w:val="24"/>
        </w:rPr>
        <w:t>tually handle</w:t>
      </w:r>
      <w:r w:rsidR="00CD18A6">
        <w:rPr>
          <w:rFonts w:ascii="Times New Roman" w:hAnsi="Times New Roman" w:cs="Times New Roman"/>
          <w:sz w:val="24"/>
          <w:szCs w:val="24"/>
        </w:rPr>
        <w:t xml:space="preserve"> the delivery, </w:t>
      </w:r>
      <w:r>
        <w:rPr>
          <w:rFonts w:ascii="Times New Roman" w:hAnsi="Times New Roman" w:cs="Times New Roman"/>
          <w:sz w:val="24"/>
          <w:szCs w:val="24"/>
        </w:rPr>
        <w:t xml:space="preserve">administration </w:t>
      </w:r>
      <w:r w:rsidR="00CD18A6">
        <w:rPr>
          <w:rFonts w:ascii="Times New Roman" w:hAnsi="Times New Roman" w:cs="Times New Roman"/>
          <w:sz w:val="24"/>
          <w:szCs w:val="24"/>
        </w:rPr>
        <w:t xml:space="preserve">and scoring </w:t>
      </w:r>
      <w:r w:rsidR="004F2DF6">
        <w:rPr>
          <w:rFonts w:ascii="Times New Roman" w:hAnsi="Times New Roman" w:cs="Times New Roman"/>
          <w:sz w:val="24"/>
          <w:szCs w:val="24"/>
        </w:rPr>
        <w:t xml:space="preserve">of </w:t>
      </w:r>
      <w:r w:rsidR="00E80A4E">
        <w:rPr>
          <w:rFonts w:ascii="Times New Roman" w:hAnsi="Times New Roman" w:cs="Times New Roman"/>
          <w:sz w:val="24"/>
          <w:szCs w:val="24"/>
        </w:rPr>
        <w:t>the testing services.  It is such a</w:t>
      </w:r>
      <w:r w:rsidR="004F2DF6">
        <w:rPr>
          <w:rFonts w:ascii="Times New Roman" w:hAnsi="Times New Roman" w:cs="Times New Roman"/>
          <w:sz w:val="24"/>
          <w:szCs w:val="24"/>
        </w:rPr>
        <w:t xml:space="preserve"> secondary entity that in many</w:t>
      </w:r>
      <w:r>
        <w:rPr>
          <w:rFonts w:ascii="Times New Roman" w:hAnsi="Times New Roman" w:cs="Times New Roman"/>
          <w:sz w:val="24"/>
          <w:szCs w:val="24"/>
        </w:rPr>
        <w:t xml:space="preserve"> </w:t>
      </w:r>
      <w:r w:rsidR="004F2DF6">
        <w:rPr>
          <w:rFonts w:ascii="Times New Roman" w:hAnsi="Times New Roman" w:cs="Times New Roman"/>
          <w:sz w:val="24"/>
          <w:szCs w:val="24"/>
        </w:rPr>
        <w:t>instances</w:t>
      </w:r>
      <w:r w:rsidR="00A90D2D">
        <w:rPr>
          <w:rFonts w:ascii="Times New Roman" w:hAnsi="Times New Roman" w:cs="Times New Roman"/>
          <w:sz w:val="24"/>
          <w:szCs w:val="24"/>
        </w:rPr>
        <w:t xml:space="preserve"> is </w:t>
      </w:r>
      <w:r w:rsidR="00E80A4E">
        <w:rPr>
          <w:rFonts w:ascii="Times New Roman" w:hAnsi="Times New Roman" w:cs="Times New Roman"/>
          <w:sz w:val="24"/>
          <w:szCs w:val="24"/>
        </w:rPr>
        <w:t>the one</w:t>
      </w:r>
      <w:r w:rsidR="00CD18A6">
        <w:rPr>
          <w:rFonts w:ascii="Times New Roman" w:hAnsi="Times New Roman" w:cs="Times New Roman"/>
          <w:sz w:val="24"/>
          <w:szCs w:val="24"/>
        </w:rPr>
        <w:t xml:space="preserve"> that ac</w:t>
      </w:r>
      <w:r>
        <w:rPr>
          <w:rFonts w:ascii="Times New Roman" w:hAnsi="Times New Roman" w:cs="Times New Roman"/>
          <w:sz w:val="24"/>
          <w:szCs w:val="24"/>
        </w:rPr>
        <w:t>tually has the direct contact with the test taker/consumer.</w:t>
      </w:r>
      <w:r w:rsidR="00AD454D">
        <w:rPr>
          <w:rFonts w:ascii="Times New Roman" w:hAnsi="Times New Roman" w:cs="Times New Roman"/>
          <w:sz w:val="24"/>
          <w:szCs w:val="24"/>
        </w:rPr>
        <w:t xml:space="preserve"> </w:t>
      </w:r>
      <w:r>
        <w:rPr>
          <w:rFonts w:ascii="Times New Roman" w:hAnsi="Times New Roman" w:cs="Times New Roman"/>
          <w:sz w:val="24"/>
          <w:szCs w:val="24"/>
        </w:rPr>
        <w:t xml:space="preserve"> </w:t>
      </w:r>
      <w:r w:rsidR="009C356A">
        <w:rPr>
          <w:rFonts w:ascii="Times New Roman" w:hAnsi="Times New Roman" w:cs="Times New Roman"/>
          <w:sz w:val="24"/>
          <w:szCs w:val="24"/>
        </w:rPr>
        <w:t>Furthermore</w:t>
      </w:r>
      <w:r w:rsidR="00CD18C2">
        <w:rPr>
          <w:rFonts w:ascii="Times New Roman" w:hAnsi="Times New Roman" w:cs="Times New Roman"/>
          <w:sz w:val="24"/>
          <w:szCs w:val="24"/>
        </w:rPr>
        <w:t xml:space="preserve">, there often are </w:t>
      </w:r>
      <w:r>
        <w:rPr>
          <w:rFonts w:ascii="Times New Roman" w:hAnsi="Times New Roman" w:cs="Times New Roman"/>
          <w:sz w:val="24"/>
          <w:szCs w:val="24"/>
        </w:rPr>
        <w:t>other parties who provide supporting services to eith</w:t>
      </w:r>
      <w:r w:rsidR="008E2FBE">
        <w:rPr>
          <w:rFonts w:ascii="Times New Roman" w:hAnsi="Times New Roman" w:cs="Times New Roman"/>
          <w:sz w:val="24"/>
          <w:szCs w:val="24"/>
        </w:rPr>
        <w:t xml:space="preserve">er or both of the two principal </w:t>
      </w:r>
      <w:r>
        <w:rPr>
          <w:rFonts w:ascii="Times New Roman" w:hAnsi="Times New Roman" w:cs="Times New Roman"/>
          <w:sz w:val="24"/>
          <w:szCs w:val="24"/>
        </w:rPr>
        <w:t xml:space="preserve">businesses (i.e., </w:t>
      </w:r>
      <w:r w:rsidR="008E2FBE">
        <w:rPr>
          <w:rFonts w:ascii="Times New Roman" w:hAnsi="Times New Roman" w:cs="Times New Roman"/>
          <w:sz w:val="24"/>
          <w:szCs w:val="24"/>
        </w:rPr>
        <w:t xml:space="preserve">function as </w:t>
      </w:r>
      <w:r>
        <w:rPr>
          <w:rFonts w:ascii="Times New Roman" w:hAnsi="Times New Roman" w:cs="Times New Roman"/>
          <w:sz w:val="24"/>
          <w:szCs w:val="24"/>
        </w:rPr>
        <w:t>a “service provider” under the CCPA</w:t>
      </w:r>
      <w:r w:rsidR="003418D7">
        <w:rPr>
          <w:rFonts w:ascii="Times New Roman" w:hAnsi="Times New Roman" w:cs="Times New Roman"/>
          <w:sz w:val="24"/>
          <w:szCs w:val="24"/>
        </w:rPr>
        <w:t>)</w:t>
      </w:r>
      <w:r w:rsidR="009E7BB7">
        <w:rPr>
          <w:rFonts w:ascii="Times New Roman" w:hAnsi="Times New Roman" w:cs="Times New Roman"/>
          <w:sz w:val="24"/>
          <w:szCs w:val="24"/>
        </w:rPr>
        <w:t xml:space="preserve">. </w:t>
      </w:r>
      <w:r w:rsidR="00887F45">
        <w:rPr>
          <w:rFonts w:ascii="Times New Roman" w:hAnsi="Times New Roman" w:cs="Times New Roman"/>
          <w:sz w:val="24"/>
          <w:szCs w:val="24"/>
        </w:rPr>
        <w:t xml:space="preserve">The ATP applauds the current CCPA regulations, which </w:t>
      </w:r>
      <w:r w:rsidR="00961C58">
        <w:rPr>
          <w:rFonts w:ascii="Times New Roman" w:hAnsi="Times New Roman" w:cs="Times New Roman"/>
          <w:sz w:val="24"/>
          <w:szCs w:val="24"/>
        </w:rPr>
        <w:t xml:space="preserve">strongly support the role of service providers </w:t>
      </w:r>
      <w:r w:rsidR="00D27E75">
        <w:rPr>
          <w:rFonts w:ascii="Times New Roman" w:hAnsi="Times New Roman" w:cs="Times New Roman"/>
          <w:sz w:val="24"/>
          <w:szCs w:val="24"/>
        </w:rPr>
        <w:t>in dealing efficiently with privacy concerns</w:t>
      </w:r>
      <w:r w:rsidR="00383919">
        <w:rPr>
          <w:rFonts w:ascii="Times New Roman" w:hAnsi="Times New Roman" w:cs="Times New Roman"/>
          <w:sz w:val="24"/>
          <w:szCs w:val="24"/>
        </w:rPr>
        <w:t xml:space="preserve"> </w:t>
      </w:r>
      <w:r w:rsidR="008C0E89">
        <w:rPr>
          <w:rFonts w:ascii="Times New Roman" w:hAnsi="Times New Roman" w:cs="Times New Roman"/>
          <w:sz w:val="24"/>
          <w:szCs w:val="24"/>
        </w:rPr>
        <w:t>on behalf of t</w:t>
      </w:r>
      <w:r w:rsidR="00383919">
        <w:rPr>
          <w:rFonts w:ascii="Times New Roman" w:hAnsi="Times New Roman" w:cs="Times New Roman"/>
          <w:sz w:val="24"/>
          <w:szCs w:val="24"/>
        </w:rPr>
        <w:t xml:space="preserve">he controlling </w:t>
      </w:r>
      <w:r w:rsidR="008C0E89">
        <w:rPr>
          <w:rFonts w:ascii="Times New Roman" w:hAnsi="Times New Roman" w:cs="Times New Roman"/>
          <w:sz w:val="24"/>
          <w:szCs w:val="24"/>
        </w:rPr>
        <w:t>business</w:t>
      </w:r>
      <w:r w:rsidR="00D27E75">
        <w:rPr>
          <w:rFonts w:ascii="Times New Roman" w:hAnsi="Times New Roman" w:cs="Times New Roman"/>
          <w:sz w:val="24"/>
          <w:szCs w:val="24"/>
        </w:rPr>
        <w:t xml:space="preserve">.  </w:t>
      </w:r>
      <w:r w:rsidR="009E7BB7">
        <w:rPr>
          <w:rFonts w:ascii="Times New Roman" w:hAnsi="Times New Roman" w:cs="Times New Roman"/>
          <w:sz w:val="24"/>
          <w:szCs w:val="24"/>
        </w:rPr>
        <w:t xml:space="preserve">The final </w:t>
      </w:r>
      <w:r w:rsidR="00D27E75">
        <w:rPr>
          <w:rFonts w:ascii="Times New Roman" w:hAnsi="Times New Roman" w:cs="Times New Roman"/>
          <w:sz w:val="24"/>
          <w:szCs w:val="24"/>
        </w:rPr>
        <w:t xml:space="preserve">CPRA </w:t>
      </w:r>
      <w:r w:rsidR="009E7BB7">
        <w:rPr>
          <w:rFonts w:ascii="Times New Roman" w:hAnsi="Times New Roman" w:cs="Times New Roman"/>
          <w:sz w:val="24"/>
          <w:szCs w:val="24"/>
        </w:rPr>
        <w:t xml:space="preserve">regulations must </w:t>
      </w:r>
      <w:r w:rsidR="00D27E75">
        <w:rPr>
          <w:rFonts w:ascii="Times New Roman" w:hAnsi="Times New Roman" w:cs="Times New Roman"/>
          <w:sz w:val="24"/>
          <w:szCs w:val="24"/>
        </w:rPr>
        <w:t xml:space="preserve">equally </w:t>
      </w:r>
      <w:r w:rsidR="009E7BB7">
        <w:rPr>
          <w:rFonts w:ascii="Times New Roman" w:hAnsi="Times New Roman" w:cs="Times New Roman"/>
          <w:sz w:val="24"/>
          <w:szCs w:val="24"/>
        </w:rPr>
        <w:t>recognize that any business that f</w:t>
      </w:r>
      <w:r w:rsidR="009C39DB">
        <w:rPr>
          <w:rFonts w:ascii="Times New Roman" w:hAnsi="Times New Roman" w:cs="Times New Roman"/>
          <w:sz w:val="24"/>
          <w:szCs w:val="24"/>
        </w:rPr>
        <w:t>unction</w:t>
      </w:r>
      <w:r w:rsidR="009E7BB7">
        <w:rPr>
          <w:rFonts w:ascii="Times New Roman" w:hAnsi="Times New Roman" w:cs="Times New Roman"/>
          <w:sz w:val="24"/>
          <w:szCs w:val="24"/>
        </w:rPr>
        <w:t xml:space="preserve">s </w:t>
      </w:r>
      <w:r w:rsidR="00E80A4E">
        <w:rPr>
          <w:rFonts w:ascii="Times New Roman" w:hAnsi="Times New Roman" w:cs="Times New Roman"/>
          <w:sz w:val="24"/>
          <w:szCs w:val="24"/>
        </w:rPr>
        <w:t xml:space="preserve">as </w:t>
      </w:r>
      <w:r w:rsidR="009E7BB7">
        <w:rPr>
          <w:rFonts w:ascii="Times New Roman" w:hAnsi="Times New Roman" w:cs="Times New Roman"/>
          <w:sz w:val="24"/>
          <w:szCs w:val="24"/>
        </w:rPr>
        <w:t xml:space="preserve">a </w:t>
      </w:r>
      <w:r w:rsidR="00E80A4E">
        <w:rPr>
          <w:rFonts w:ascii="Times New Roman" w:hAnsi="Times New Roman" w:cs="Times New Roman"/>
          <w:sz w:val="24"/>
          <w:szCs w:val="24"/>
        </w:rPr>
        <w:t>“</w:t>
      </w:r>
      <w:r w:rsidR="009E7BB7">
        <w:rPr>
          <w:rFonts w:ascii="Times New Roman" w:hAnsi="Times New Roman" w:cs="Times New Roman"/>
          <w:sz w:val="24"/>
          <w:szCs w:val="24"/>
        </w:rPr>
        <w:t xml:space="preserve">service provider” </w:t>
      </w:r>
      <w:r w:rsidR="008E2FBE">
        <w:rPr>
          <w:rFonts w:ascii="Times New Roman" w:hAnsi="Times New Roman" w:cs="Times New Roman"/>
          <w:sz w:val="24"/>
          <w:szCs w:val="24"/>
        </w:rPr>
        <w:t>does not control the collection and use of consumers’ personal information</w:t>
      </w:r>
      <w:r w:rsidR="009E7BB7">
        <w:rPr>
          <w:rFonts w:ascii="Times New Roman" w:hAnsi="Times New Roman" w:cs="Times New Roman"/>
          <w:sz w:val="24"/>
          <w:szCs w:val="24"/>
        </w:rPr>
        <w:t>.</w:t>
      </w:r>
      <w:r w:rsidR="006E1A75" w:rsidRPr="006E1A75">
        <w:t xml:space="preserve"> </w:t>
      </w:r>
    </w:p>
    <w:p w14:paraId="2E17846D" w14:textId="0612EA9E" w:rsidR="003418D7" w:rsidRDefault="003418D7" w:rsidP="00CD18A6">
      <w:pPr>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9E7BB7">
        <w:rPr>
          <w:rFonts w:ascii="Times New Roman" w:hAnsi="Times New Roman" w:cs="Times New Roman"/>
          <w:sz w:val="24"/>
          <w:szCs w:val="24"/>
        </w:rPr>
        <w:t xml:space="preserve">unique factor of </w:t>
      </w:r>
      <w:r>
        <w:rPr>
          <w:rFonts w:ascii="Times New Roman" w:hAnsi="Times New Roman" w:cs="Times New Roman"/>
          <w:sz w:val="24"/>
          <w:szCs w:val="24"/>
        </w:rPr>
        <w:t xml:space="preserve">the </w:t>
      </w:r>
      <w:r w:rsidR="00CD18A6">
        <w:rPr>
          <w:rFonts w:ascii="Times New Roman" w:hAnsi="Times New Roman" w:cs="Times New Roman"/>
          <w:sz w:val="24"/>
          <w:szCs w:val="24"/>
        </w:rPr>
        <w:t xml:space="preserve">high stakes </w:t>
      </w:r>
      <w:r w:rsidR="009E7BB7">
        <w:rPr>
          <w:rFonts w:ascii="Times New Roman" w:hAnsi="Times New Roman" w:cs="Times New Roman"/>
          <w:sz w:val="24"/>
          <w:szCs w:val="24"/>
        </w:rPr>
        <w:t xml:space="preserve">testing industry </w:t>
      </w:r>
      <w:r>
        <w:rPr>
          <w:rFonts w:ascii="Times New Roman" w:hAnsi="Times New Roman" w:cs="Times New Roman"/>
          <w:sz w:val="24"/>
          <w:szCs w:val="24"/>
        </w:rPr>
        <w:t xml:space="preserve">is that “consumers” of tests and testing services may be individuals, but in many instances, the </w:t>
      </w:r>
      <w:r w:rsidR="008809C5">
        <w:rPr>
          <w:rFonts w:ascii="Times New Roman" w:hAnsi="Times New Roman" w:cs="Times New Roman"/>
          <w:sz w:val="24"/>
          <w:szCs w:val="24"/>
        </w:rPr>
        <w:t xml:space="preserve">rights to </w:t>
      </w:r>
      <w:r w:rsidR="009E7BB7">
        <w:rPr>
          <w:rFonts w:ascii="Times New Roman" w:hAnsi="Times New Roman" w:cs="Times New Roman"/>
          <w:sz w:val="24"/>
          <w:szCs w:val="24"/>
        </w:rPr>
        <w:t xml:space="preserve">use </w:t>
      </w:r>
      <w:r>
        <w:rPr>
          <w:rFonts w:ascii="Times New Roman" w:hAnsi="Times New Roman" w:cs="Times New Roman"/>
          <w:sz w:val="24"/>
          <w:szCs w:val="24"/>
        </w:rPr>
        <w:t>tests and/or testing services are “</w:t>
      </w:r>
      <w:r w:rsidR="008E2FBE">
        <w:rPr>
          <w:rFonts w:ascii="Times New Roman" w:hAnsi="Times New Roman" w:cs="Times New Roman"/>
          <w:sz w:val="24"/>
          <w:szCs w:val="24"/>
        </w:rPr>
        <w:t>sold</w:t>
      </w:r>
      <w:r>
        <w:rPr>
          <w:rFonts w:ascii="Times New Roman" w:hAnsi="Times New Roman" w:cs="Times New Roman"/>
          <w:sz w:val="24"/>
          <w:szCs w:val="24"/>
        </w:rPr>
        <w:t xml:space="preserve">” to businesses (i.e., employers) or professionals (e.g., doctors, psychologists), who then </w:t>
      </w:r>
      <w:r w:rsidR="009E7BB7">
        <w:rPr>
          <w:rFonts w:ascii="Times New Roman" w:hAnsi="Times New Roman" w:cs="Times New Roman"/>
          <w:sz w:val="24"/>
          <w:szCs w:val="24"/>
        </w:rPr>
        <w:t xml:space="preserve">have the responsibility to </w:t>
      </w:r>
      <w:r>
        <w:rPr>
          <w:rFonts w:ascii="Times New Roman" w:hAnsi="Times New Roman" w:cs="Times New Roman"/>
          <w:sz w:val="24"/>
          <w:szCs w:val="24"/>
        </w:rPr>
        <w:t>arrange for the administration of the tests to the actual test takers, either by themselves or by a test delivery vendor. I</w:t>
      </w:r>
      <w:r w:rsidR="00176BE9">
        <w:rPr>
          <w:rFonts w:ascii="Times New Roman" w:hAnsi="Times New Roman" w:cs="Times New Roman"/>
          <w:sz w:val="24"/>
          <w:szCs w:val="24"/>
        </w:rPr>
        <w:t>n this context, then, i</w:t>
      </w:r>
      <w:r>
        <w:rPr>
          <w:rFonts w:ascii="Times New Roman" w:hAnsi="Times New Roman" w:cs="Times New Roman"/>
          <w:sz w:val="24"/>
          <w:szCs w:val="24"/>
        </w:rPr>
        <w:t xml:space="preserve">t is equally important to note that, especially for “secure tests” (i.e., those </w:t>
      </w:r>
      <w:r w:rsidR="008E2FBE">
        <w:rPr>
          <w:rFonts w:ascii="Times New Roman" w:hAnsi="Times New Roman" w:cs="Times New Roman"/>
          <w:sz w:val="24"/>
          <w:szCs w:val="24"/>
        </w:rPr>
        <w:t xml:space="preserve">tests whose items must not be made available to test takers in advance of a test administration), the tests themselves are not “sold” in the commercial </w:t>
      </w:r>
      <w:r w:rsidR="00AD454D">
        <w:rPr>
          <w:rFonts w:ascii="Times New Roman" w:hAnsi="Times New Roman" w:cs="Times New Roman"/>
          <w:sz w:val="24"/>
          <w:szCs w:val="24"/>
        </w:rPr>
        <w:t>sense but</w:t>
      </w:r>
      <w:r w:rsidR="008E2FBE">
        <w:rPr>
          <w:rFonts w:ascii="Times New Roman" w:hAnsi="Times New Roman" w:cs="Times New Roman"/>
          <w:sz w:val="24"/>
          <w:szCs w:val="24"/>
        </w:rPr>
        <w:t xml:space="preserve"> are provided </w:t>
      </w:r>
      <w:r w:rsidR="008809C5">
        <w:rPr>
          <w:rFonts w:ascii="Times New Roman" w:hAnsi="Times New Roman" w:cs="Times New Roman"/>
          <w:sz w:val="24"/>
          <w:szCs w:val="24"/>
        </w:rPr>
        <w:t xml:space="preserve">for </w:t>
      </w:r>
      <w:r w:rsidR="008E2FBE">
        <w:rPr>
          <w:rFonts w:ascii="Times New Roman" w:hAnsi="Times New Roman" w:cs="Times New Roman"/>
          <w:sz w:val="24"/>
          <w:szCs w:val="24"/>
        </w:rPr>
        <w:t>use by the customer of the testing servi</w:t>
      </w:r>
      <w:r w:rsidR="00E80A4E">
        <w:rPr>
          <w:rFonts w:ascii="Times New Roman" w:hAnsi="Times New Roman" w:cs="Times New Roman"/>
          <w:sz w:val="24"/>
          <w:szCs w:val="24"/>
        </w:rPr>
        <w:t xml:space="preserve">ces – </w:t>
      </w:r>
      <w:r w:rsidR="00F26713">
        <w:rPr>
          <w:rFonts w:ascii="Times New Roman" w:hAnsi="Times New Roman" w:cs="Times New Roman"/>
          <w:sz w:val="24"/>
          <w:szCs w:val="24"/>
        </w:rPr>
        <w:t xml:space="preserve">in this sense, then, </w:t>
      </w:r>
      <w:r w:rsidR="00E80A4E">
        <w:rPr>
          <w:rFonts w:ascii="Times New Roman" w:hAnsi="Times New Roman" w:cs="Times New Roman"/>
          <w:sz w:val="24"/>
          <w:szCs w:val="24"/>
        </w:rPr>
        <w:t>ownership of the tests is</w:t>
      </w:r>
      <w:r w:rsidR="008E2FBE">
        <w:rPr>
          <w:rFonts w:ascii="Times New Roman" w:hAnsi="Times New Roman" w:cs="Times New Roman"/>
          <w:sz w:val="24"/>
          <w:szCs w:val="24"/>
        </w:rPr>
        <w:t xml:space="preserve"> not conveyed in a commercial “sale.”</w:t>
      </w:r>
      <w:r w:rsidR="008E2FBE">
        <w:rPr>
          <w:rStyle w:val="FootnoteReference"/>
          <w:rFonts w:ascii="Times New Roman" w:hAnsi="Times New Roman" w:cs="Times New Roman"/>
          <w:sz w:val="24"/>
          <w:szCs w:val="24"/>
        </w:rPr>
        <w:footnoteReference w:id="5"/>
      </w:r>
      <w:r w:rsidR="008E2FBE">
        <w:rPr>
          <w:rFonts w:ascii="Times New Roman" w:hAnsi="Times New Roman" w:cs="Times New Roman"/>
          <w:sz w:val="24"/>
          <w:szCs w:val="24"/>
        </w:rPr>
        <w:t xml:space="preserve"> </w:t>
      </w:r>
      <w:r w:rsidR="00E86300">
        <w:rPr>
          <w:rFonts w:ascii="Times New Roman" w:hAnsi="Times New Roman" w:cs="Times New Roman"/>
          <w:sz w:val="24"/>
          <w:szCs w:val="24"/>
        </w:rPr>
        <w:t xml:space="preserve"> </w:t>
      </w:r>
      <w:r w:rsidR="00A170F0">
        <w:rPr>
          <w:rFonts w:ascii="Times New Roman" w:hAnsi="Times New Roman" w:cs="Times New Roman"/>
          <w:sz w:val="24"/>
          <w:szCs w:val="24"/>
        </w:rPr>
        <w:t xml:space="preserve">Indeed, </w:t>
      </w:r>
      <w:r w:rsidR="00AF4E29">
        <w:rPr>
          <w:rFonts w:ascii="Times New Roman" w:hAnsi="Times New Roman" w:cs="Times New Roman"/>
          <w:sz w:val="24"/>
          <w:szCs w:val="24"/>
        </w:rPr>
        <w:t xml:space="preserve">in many instances, </w:t>
      </w:r>
      <w:r w:rsidR="00A170F0">
        <w:rPr>
          <w:rFonts w:ascii="Times New Roman" w:hAnsi="Times New Roman" w:cs="Times New Roman"/>
          <w:sz w:val="24"/>
          <w:szCs w:val="24"/>
        </w:rPr>
        <w:t xml:space="preserve">the testing organization </w:t>
      </w:r>
      <w:r w:rsidR="00AF4E29">
        <w:rPr>
          <w:rFonts w:ascii="Times New Roman" w:hAnsi="Times New Roman" w:cs="Times New Roman"/>
          <w:sz w:val="24"/>
          <w:szCs w:val="24"/>
        </w:rPr>
        <w:t xml:space="preserve"> provides “scoring services”</w:t>
      </w:r>
      <w:r w:rsidR="00A170F0">
        <w:rPr>
          <w:rFonts w:ascii="Times New Roman" w:hAnsi="Times New Roman" w:cs="Times New Roman"/>
          <w:sz w:val="24"/>
          <w:szCs w:val="24"/>
        </w:rPr>
        <w:t xml:space="preserve"> </w:t>
      </w:r>
      <w:r w:rsidR="00AF4E29">
        <w:rPr>
          <w:rFonts w:ascii="Times New Roman" w:hAnsi="Times New Roman" w:cs="Times New Roman"/>
          <w:sz w:val="24"/>
          <w:szCs w:val="24"/>
        </w:rPr>
        <w:t>to</w:t>
      </w:r>
      <w:r w:rsidR="00A170F0">
        <w:rPr>
          <w:rFonts w:ascii="Times New Roman" w:hAnsi="Times New Roman" w:cs="Times New Roman"/>
          <w:sz w:val="24"/>
          <w:szCs w:val="24"/>
        </w:rPr>
        <w:t xml:space="preserve"> the </w:t>
      </w:r>
      <w:r w:rsidR="007F625C">
        <w:rPr>
          <w:rFonts w:ascii="Times New Roman" w:hAnsi="Times New Roman" w:cs="Times New Roman"/>
          <w:sz w:val="24"/>
          <w:szCs w:val="24"/>
        </w:rPr>
        <w:t>employer or professional test user</w:t>
      </w:r>
      <w:r w:rsidR="00AF4E29">
        <w:rPr>
          <w:rFonts w:ascii="Times New Roman" w:hAnsi="Times New Roman" w:cs="Times New Roman"/>
          <w:sz w:val="24"/>
          <w:szCs w:val="24"/>
        </w:rPr>
        <w:t xml:space="preserve"> – it is often</w:t>
      </w:r>
      <w:r w:rsidR="007F625C">
        <w:rPr>
          <w:rFonts w:ascii="Times New Roman" w:hAnsi="Times New Roman" w:cs="Times New Roman"/>
          <w:sz w:val="24"/>
          <w:szCs w:val="24"/>
        </w:rPr>
        <w:t xml:space="preserve"> the employer or test user who has the right to decide what personal information is collected and </w:t>
      </w:r>
      <w:r w:rsidR="001F087A">
        <w:rPr>
          <w:rFonts w:ascii="Times New Roman" w:hAnsi="Times New Roman" w:cs="Times New Roman"/>
          <w:sz w:val="24"/>
          <w:szCs w:val="24"/>
        </w:rPr>
        <w:t xml:space="preserve">how it is </w:t>
      </w:r>
      <w:r w:rsidR="007F625C">
        <w:rPr>
          <w:rFonts w:ascii="Times New Roman" w:hAnsi="Times New Roman" w:cs="Times New Roman"/>
          <w:sz w:val="24"/>
          <w:szCs w:val="24"/>
        </w:rPr>
        <w:t>used.</w:t>
      </w:r>
      <w:r w:rsidR="00AF4E29">
        <w:rPr>
          <w:rFonts w:ascii="Times New Roman" w:hAnsi="Times New Roman" w:cs="Times New Roman"/>
          <w:sz w:val="24"/>
          <w:szCs w:val="24"/>
        </w:rPr>
        <w:t xml:space="preserve">  </w:t>
      </w:r>
      <w:r w:rsidR="00E86300">
        <w:rPr>
          <w:rFonts w:ascii="Times New Roman" w:hAnsi="Times New Roman" w:cs="Times New Roman"/>
          <w:sz w:val="24"/>
          <w:szCs w:val="24"/>
        </w:rPr>
        <w:t xml:space="preserve">                                         </w:t>
      </w:r>
    </w:p>
    <w:p w14:paraId="0ABF86EB" w14:textId="77777777" w:rsidR="003D1EB1" w:rsidRDefault="009C39DB" w:rsidP="00CD18A6">
      <w:pPr>
        <w:ind w:firstLine="720"/>
        <w:rPr>
          <w:rFonts w:ascii="Times New Roman" w:hAnsi="Times New Roman" w:cs="Times New Roman"/>
          <w:sz w:val="24"/>
          <w:szCs w:val="24"/>
        </w:rPr>
      </w:pPr>
      <w:r>
        <w:rPr>
          <w:rFonts w:ascii="Times New Roman" w:hAnsi="Times New Roman" w:cs="Times New Roman"/>
          <w:sz w:val="24"/>
          <w:szCs w:val="24"/>
        </w:rPr>
        <w:t>Perhaps because of the complexities inherent in the provision of testing ser</w:t>
      </w:r>
      <w:r w:rsidR="00650F66">
        <w:rPr>
          <w:rFonts w:ascii="Times New Roman" w:hAnsi="Times New Roman" w:cs="Times New Roman"/>
          <w:sz w:val="24"/>
          <w:szCs w:val="24"/>
        </w:rPr>
        <w:t>vices, the standard practice for</w:t>
      </w:r>
      <w:r>
        <w:rPr>
          <w:rFonts w:ascii="Times New Roman" w:hAnsi="Times New Roman" w:cs="Times New Roman"/>
          <w:sz w:val="24"/>
          <w:szCs w:val="24"/>
        </w:rPr>
        <w:t xml:space="preserve"> most testing organizations is the use of a </w:t>
      </w:r>
      <w:r w:rsidR="00650F66">
        <w:rPr>
          <w:rFonts w:ascii="Times New Roman" w:hAnsi="Times New Roman" w:cs="Times New Roman"/>
          <w:sz w:val="24"/>
          <w:szCs w:val="24"/>
        </w:rPr>
        <w:t xml:space="preserve">formal </w:t>
      </w:r>
      <w:r>
        <w:rPr>
          <w:rFonts w:ascii="Times New Roman" w:hAnsi="Times New Roman" w:cs="Times New Roman"/>
          <w:sz w:val="24"/>
          <w:szCs w:val="24"/>
        </w:rPr>
        <w:t xml:space="preserve">test taker </w:t>
      </w:r>
      <w:r w:rsidR="003D173C">
        <w:rPr>
          <w:rFonts w:ascii="Times New Roman" w:hAnsi="Times New Roman" w:cs="Times New Roman"/>
          <w:sz w:val="24"/>
          <w:szCs w:val="24"/>
        </w:rPr>
        <w:t>form/</w:t>
      </w:r>
      <w:r>
        <w:rPr>
          <w:rFonts w:ascii="Times New Roman" w:hAnsi="Times New Roman" w:cs="Times New Roman"/>
          <w:sz w:val="24"/>
          <w:szCs w:val="24"/>
        </w:rPr>
        <w:t>agreement to spell out to each</w:t>
      </w:r>
      <w:r w:rsidR="00AB7DA4">
        <w:rPr>
          <w:rFonts w:ascii="Times New Roman" w:hAnsi="Times New Roman" w:cs="Times New Roman"/>
          <w:sz w:val="24"/>
          <w:szCs w:val="24"/>
        </w:rPr>
        <w:t xml:space="preserve"> individual test taker</w:t>
      </w:r>
      <w:r w:rsidR="00650F66">
        <w:rPr>
          <w:rFonts w:ascii="Times New Roman" w:hAnsi="Times New Roman" w:cs="Times New Roman"/>
          <w:sz w:val="24"/>
          <w:szCs w:val="24"/>
        </w:rPr>
        <w:t xml:space="preserve"> both his/her rights and responsibilities related to</w:t>
      </w:r>
      <w:r>
        <w:rPr>
          <w:rFonts w:ascii="Times New Roman" w:hAnsi="Times New Roman" w:cs="Times New Roman"/>
          <w:sz w:val="24"/>
          <w:szCs w:val="24"/>
        </w:rPr>
        <w:t xml:space="preserve"> the testing services (e.g.,</w:t>
      </w:r>
      <w:r w:rsidR="00650F66">
        <w:rPr>
          <w:rFonts w:ascii="Times New Roman" w:hAnsi="Times New Roman" w:cs="Times New Roman"/>
          <w:sz w:val="24"/>
          <w:szCs w:val="24"/>
        </w:rPr>
        <w:t xml:space="preserve"> rights to challenge or appeal, retest rules, prohibitions on copying/sharing test items), as well as the information about the business’s privacy policy, which the </w:t>
      </w:r>
    </w:p>
    <w:p w14:paraId="5740096F" w14:textId="201618BB" w:rsidR="009C39DB" w:rsidRDefault="00650F66" w:rsidP="003D1EB1">
      <w:pPr>
        <w:rPr>
          <w:rFonts w:ascii="Times New Roman" w:hAnsi="Times New Roman" w:cs="Times New Roman"/>
          <w:sz w:val="24"/>
          <w:szCs w:val="24"/>
        </w:rPr>
      </w:pPr>
      <w:r>
        <w:rPr>
          <w:rFonts w:ascii="Times New Roman" w:hAnsi="Times New Roman" w:cs="Times New Roman"/>
          <w:sz w:val="24"/>
          <w:szCs w:val="24"/>
        </w:rPr>
        <w:lastRenderedPageBreak/>
        <w:t>must acknowledge or accept.</w:t>
      </w:r>
      <w:r w:rsidR="003D173C">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6B3A18">
        <w:rPr>
          <w:rFonts w:ascii="Times New Roman" w:hAnsi="Times New Roman" w:cs="Times New Roman"/>
          <w:sz w:val="24"/>
          <w:szCs w:val="24"/>
        </w:rPr>
        <w:t xml:space="preserve">Among the uses of personal information that may be enumerated in such agreements are </w:t>
      </w:r>
      <w:r w:rsidR="00161949">
        <w:rPr>
          <w:rFonts w:ascii="Times New Roman" w:hAnsi="Times New Roman" w:cs="Times New Roman"/>
          <w:sz w:val="24"/>
          <w:szCs w:val="24"/>
        </w:rPr>
        <w:t xml:space="preserve">specific </w:t>
      </w:r>
      <w:r w:rsidR="006B3A18">
        <w:rPr>
          <w:rFonts w:ascii="Times New Roman" w:hAnsi="Times New Roman" w:cs="Times New Roman"/>
          <w:sz w:val="24"/>
          <w:szCs w:val="24"/>
        </w:rPr>
        <w:t xml:space="preserve">steps taken to ensure that cheating does not occur (e.g., monitoring test administration either physically or electronically).  </w:t>
      </w:r>
      <w:r>
        <w:rPr>
          <w:rFonts w:ascii="Times New Roman" w:hAnsi="Times New Roman" w:cs="Times New Roman"/>
          <w:sz w:val="24"/>
          <w:szCs w:val="24"/>
        </w:rPr>
        <w:t xml:space="preserve">Many testing organizations require the test taker to sign this agreement first when registering </w:t>
      </w:r>
      <w:r w:rsidR="00E3325A">
        <w:rPr>
          <w:rFonts w:ascii="Times New Roman" w:hAnsi="Times New Roman" w:cs="Times New Roman"/>
          <w:sz w:val="24"/>
          <w:szCs w:val="24"/>
        </w:rPr>
        <w:t xml:space="preserve">online </w:t>
      </w:r>
      <w:r>
        <w:rPr>
          <w:rFonts w:ascii="Times New Roman" w:hAnsi="Times New Roman" w:cs="Times New Roman"/>
          <w:sz w:val="24"/>
          <w:szCs w:val="24"/>
        </w:rPr>
        <w:t xml:space="preserve">for the test and </w:t>
      </w:r>
      <w:r w:rsidR="006B3A18">
        <w:rPr>
          <w:rFonts w:ascii="Times New Roman" w:hAnsi="Times New Roman" w:cs="Times New Roman"/>
          <w:sz w:val="24"/>
          <w:szCs w:val="24"/>
        </w:rPr>
        <w:t xml:space="preserve">then </w:t>
      </w:r>
      <w:r>
        <w:rPr>
          <w:rFonts w:ascii="Times New Roman" w:hAnsi="Times New Roman" w:cs="Times New Roman"/>
          <w:sz w:val="24"/>
          <w:szCs w:val="24"/>
        </w:rPr>
        <w:t>again at the test administration before the test ta</w:t>
      </w:r>
      <w:r w:rsidR="00161949">
        <w:rPr>
          <w:rFonts w:ascii="Times New Roman" w:hAnsi="Times New Roman" w:cs="Times New Roman"/>
          <w:sz w:val="24"/>
          <w:szCs w:val="24"/>
        </w:rPr>
        <w:t xml:space="preserve">ker begins the testing session, which </w:t>
      </w:r>
      <w:r w:rsidR="006B3A18">
        <w:rPr>
          <w:rFonts w:ascii="Times New Roman" w:hAnsi="Times New Roman" w:cs="Times New Roman"/>
          <w:sz w:val="24"/>
          <w:szCs w:val="24"/>
        </w:rPr>
        <w:t>provide</w:t>
      </w:r>
      <w:r w:rsidR="00B815F1">
        <w:rPr>
          <w:rFonts w:ascii="Times New Roman" w:hAnsi="Times New Roman" w:cs="Times New Roman"/>
          <w:sz w:val="24"/>
          <w:szCs w:val="24"/>
        </w:rPr>
        <w:t xml:space="preserve">s </w:t>
      </w:r>
      <w:r w:rsidR="006B3A18">
        <w:rPr>
          <w:rFonts w:ascii="Times New Roman" w:hAnsi="Times New Roman" w:cs="Times New Roman"/>
          <w:sz w:val="24"/>
          <w:szCs w:val="24"/>
        </w:rPr>
        <w:t xml:space="preserve">evidence </w:t>
      </w:r>
      <w:r w:rsidR="00161949">
        <w:rPr>
          <w:rFonts w:ascii="Times New Roman" w:hAnsi="Times New Roman" w:cs="Times New Roman"/>
          <w:sz w:val="24"/>
          <w:szCs w:val="24"/>
        </w:rPr>
        <w:t>that the test taker was</w:t>
      </w:r>
      <w:r w:rsidR="006B3A18">
        <w:rPr>
          <w:rFonts w:ascii="Times New Roman" w:hAnsi="Times New Roman" w:cs="Times New Roman"/>
          <w:sz w:val="24"/>
          <w:szCs w:val="24"/>
        </w:rPr>
        <w:t xml:space="preserve"> </w:t>
      </w:r>
      <w:r w:rsidR="00E3325A">
        <w:rPr>
          <w:rFonts w:ascii="Times New Roman" w:hAnsi="Times New Roman" w:cs="Times New Roman"/>
          <w:sz w:val="24"/>
          <w:szCs w:val="24"/>
        </w:rPr>
        <w:t>given the required notice twice.</w:t>
      </w:r>
      <w:r>
        <w:rPr>
          <w:rFonts w:ascii="Times New Roman" w:hAnsi="Times New Roman" w:cs="Times New Roman"/>
          <w:sz w:val="24"/>
          <w:szCs w:val="24"/>
        </w:rPr>
        <w:t xml:space="preserve">   </w:t>
      </w:r>
      <w:r w:rsidR="009C39DB">
        <w:rPr>
          <w:rFonts w:ascii="Times New Roman" w:hAnsi="Times New Roman" w:cs="Times New Roman"/>
          <w:sz w:val="24"/>
          <w:szCs w:val="24"/>
        </w:rPr>
        <w:t xml:space="preserve">  </w:t>
      </w:r>
    </w:p>
    <w:p w14:paraId="4EB6DE3C" w14:textId="01D2643D" w:rsidR="00CD18A6" w:rsidRPr="004A7CCE" w:rsidRDefault="009C39DB" w:rsidP="00CD18A6">
      <w:pPr>
        <w:ind w:firstLine="720"/>
        <w:rPr>
          <w:rFonts w:ascii="Times New Roman" w:hAnsi="Times New Roman" w:cs="Times New Roman"/>
          <w:sz w:val="24"/>
          <w:szCs w:val="24"/>
        </w:rPr>
      </w:pPr>
      <w:r w:rsidRPr="004A7CCE">
        <w:rPr>
          <w:rFonts w:ascii="Times New Roman" w:hAnsi="Times New Roman" w:cs="Times New Roman"/>
          <w:sz w:val="24"/>
          <w:szCs w:val="24"/>
        </w:rPr>
        <w:t>Because of the well-documented</w:t>
      </w:r>
      <w:r w:rsidR="00575080" w:rsidRPr="004A7CCE">
        <w:rPr>
          <w:rFonts w:ascii="Times New Roman" w:hAnsi="Times New Roman" w:cs="Times New Roman"/>
          <w:sz w:val="24"/>
          <w:szCs w:val="24"/>
        </w:rPr>
        <w:t xml:space="preserve"> division of responsibilities </w:t>
      </w:r>
      <w:r w:rsidR="004517F0" w:rsidRPr="004A7CCE">
        <w:rPr>
          <w:rFonts w:ascii="Times New Roman" w:hAnsi="Times New Roman" w:cs="Times New Roman"/>
          <w:sz w:val="24"/>
          <w:szCs w:val="24"/>
        </w:rPr>
        <w:t>among different entities participating in a testing event</w:t>
      </w:r>
      <w:r w:rsidR="00575080" w:rsidRPr="004A7CCE">
        <w:rPr>
          <w:rFonts w:ascii="Times New Roman" w:hAnsi="Times New Roman" w:cs="Times New Roman"/>
          <w:sz w:val="24"/>
          <w:szCs w:val="24"/>
        </w:rPr>
        <w:t xml:space="preserve">, </w:t>
      </w:r>
      <w:r w:rsidR="00AB7DA4" w:rsidRPr="004A7CCE">
        <w:rPr>
          <w:rFonts w:ascii="Times New Roman" w:hAnsi="Times New Roman" w:cs="Times New Roman"/>
          <w:sz w:val="24"/>
          <w:szCs w:val="24"/>
        </w:rPr>
        <w:t xml:space="preserve">the most critical issue </w:t>
      </w:r>
      <w:r w:rsidR="00CD18A6" w:rsidRPr="004A7CCE">
        <w:rPr>
          <w:rFonts w:ascii="Times New Roman" w:hAnsi="Times New Roman" w:cs="Times New Roman"/>
          <w:sz w:val="24"/>
          <w:szCs w:val="24"/>
        </w:rPr>
        <w:t>in a privacy context is which entity has the responsibility</w:t>
      </w:r>
      <w:r w:rsidR="00575080" w:rsidRPr="004A7CCE">
        <w:rPr>
          <w:rFonts w:ascii="Times New Roman" w:hAnsi="Times New Roman" w:cs="Times New Roman"/>
          <w:sz w:val="24"/>
          <w:szCs w:val="24"/>
        </w:rPr>
        <w:t xml:space="preserve"> </w:t>
      </w:r>
      <w:r w:rsidR="00CD18A6" w:rsidRPr="004A7CCE">
        <w:rPr>
          <w:rFonts w:ascii="Times New Roman" w:hAnsi="Times New Roman" w:cs="Times New Roman"/>
          <w:sz w:val="24"/>
          <w:szCs w:val="24"/>
        </w:rPr>
        <w:t>for collecting personal information from test takers and for determining what use(s) are to be made of that i</w:t>
      </w:r>
      <w:r w:rsidR="006B7B1D" w:rsidRPr="004A7CCE">
        <w:rPr>
          <w:rFonts w:ascii="Times New Roman" w:hAnsi="Times New Roman" w:cs="Times New Roman"/>
          <w:sz w:val="24"/>
          <w:szCs w:val="24"/>
        </w:rPr>
        <w:t>nformation</w:t>
      </w:r>
      <w:r w:rsidR="00C82C1B">
        <w:rPr>
          <w:rFonts w:ascii="Times New Roman" w:hAnsi="Times New Roman" w:cs="Times New Roman"/>
          <w:sz w:val="24"/>
          <w:szCs w:val="24"/>
        </w:rPr>
        <w:t>.</w:t>
      </w:r>
      <w:r w:rsidR="00CD18A6" w:rsidRPr="004A7CCE">
        <w:rPr>
          <w:rFonts w:ascii="Times New Roman" w:hAnsi="Times New Roman" w:cs="Times New Roman"/>
          <w:sz w:val="24"/>
          <w:szCs w:val="24"/>
        </w:rPr>
        <w:t xml:space="preserve"> While the high</w:t>
      </w:r>
      <w:r w:rsidR="003D1EB1">
        <w:rPr>
          <w:rFonts w:ascii="Times New Roman" w:hAnsi="Times New Roman" w:cs="Times New Roman"/>
          <w:sz w:val="24"/>
          <w:szCs w:val="24"/>
        </w:rPr>
        <w:t>-</w:t>
      </w:r>
      <w:r w:rsidR="00CD18A6" w:rsidRPr="004A7CCE">
        <w:rPr>
          <w:rFonts w:ascii="Times New Roman" w:hAnsi="Times New Roman" w:cs="Times New Roman"/>
          <w:sz w:val="24"/>
          <w:szCs w:val="24"/>
        </w:rPr>
        <w:t xml:space="preserve">stakes test owner may obtain test taker information from </w:t>
      </w:r>
      <w:r w:rsidR="00C23F40" w:rsidRPr="004A7CCE">
        <w:rPr>
          <w:rFonts w:ascii="Times New Roman" w:hAnsi="Times New Roman" w:cs="Times New Roman"/>
          <w:sz w:val="24"/>
          <w:szCs w:val="24"/>
        </w:rPr>
        <w:t xml:space="preserve">one or more of </w:t>
      </w:r>
      <w:r w:rsidR="00CD18A6" w:rsidRPr="004A7CCE">
        <w:rPr>
          <w:rFonts w:ascii="Times New Roman" w:hAnsi="Times New Roman" w:cs="Times New Roman"/>
          <w:sz w:val="24"/>
          <w:szCs w:val="24"/>
        </w:rPr>
        <w:t>its service providers in the performance of the testing services, the responsibility for compli</w:t>
      </w:r>
      <w:r w:rsidR="00073A3B" w:rsidRPr="004A7CCE">
        <w:rPr>
          <w:rFonts w:ascii="Times New Roman" w:hAnsi="Times New Roman" w:cs="Times New Roman"/>
          <w:sz w:val="24"/>
          <w:szCs w:val="24"/>
        </w:rPr>
        <w:t>ance with the CCPA</w:t>
      </w:r>
      <w:r w:rsidR="004246BC">
        <w:rPr>
          <w:rFonts w:ascii="Times New Roman" w:hAnsi="Times New Roman" w:cs="Times New Roman"/>
          <w:sz w:val="24"/>
          <w:szCs w:val="24"/>
        </w:rPr>
        <w:t>/CPRA</w:t>
      </w:r>
      <w:r w:rsidR="00073A3B" w:rsidRPr="004A7CCE">
        <w:rPr>
          <w:rFonts w:ascii="Times New Roman" w:hAnsi="Times New Roman" w:cs="Times New Roman"/>
          <w:sz w:val="24"/>
          <w:szCs w:val="24"/>
        </w:rPr>
        <w:t xml:space="preserve"> </w:t>
      </w:r>
      <w:r w:rsidR="006B7B1D" w:rsidRPr="004A7CCE">
        <w:rPr>
          <w:rFonts w:ascii="Times New Roman" w:hAnsi="Times New Roman" w:cs="Times New Roman"/>
          <w:sz w:val="24"/>
          <w:szCs w:val="24"/>
        </w:rPr>
        <w:t>must fall</w:t>
      </w:r>
      <w:r w:rsidR="00073A3B" w:rsidRPr="004A7CCE">
        <w:rPr>
          <w:rFonts w:ascii="Times New Roman" w:hAnsi="Times New Roman" w:cs="Times New Roman"/>
          <w:sz w:val="24"/>
          <w:szCs w:val="24"/>
        </w:rPr>
        <w:t xml:space="preserve"> squarely</w:t>
      </w:r>
      <w:r w:rsidR="00CD18A6" w:rsidRPr="004A7CCE">
        <w:rPr>
          <w:rFonts w:ascii="Times New Roman" w:hAnsi="Times New Roman" w:cs="Times New Roman"/>
          <w:sz w:val="24"/>
          <w:szCs w:val="24"/>
        </w:rPr>
        <w:t xml:space="preserve"> on the test owner</w:t>
      </w:r>
      <w:r w:rsidR="00E37175" w:rsidRPr="004A7CCE">
        <w:rPr>
          <w:rFonts w:ascii="Times New Roman" w:hAnsi="Times New Roman" w:cs="Times New Roman"/>
          <w:sz w:val="24"/>
          <w:szCs w:val="24"/>
        </w:rPr>
        <w:t>, the entity that makes all of the relevant decisions about what personal information should be collected and what uses it makes of that personal information</w:t>
      </w:r>
      <w:r w:rsidR="00CD18A6" w:rsidRPr="004A7CCE">
        <w:rPr>
          <w:rFonts w:ascii="Times New Roman" w:hAnsi="Times New Roman" w:cs="Times New Roman"/>
          <w:sz w:val="24"/>
          <w:szCs w:val="24"/>
        </w:rPr>
        <w:t>.</w:t>
      </w:r>
      <w:r w:rsidR="00CD18A6" w:rsidRPr="004A7CCE">
        <w:rPr>
          <w:rStyle w:val="FootnoteReference"/>
          <w:rFonts w:ascii="Times New Roman" w:hAnsi="Times New Roman" w:cs="Times New Roman"/>
          <w:sz w:val="24"/>
          <w:szCs w:val="24"/>
        </w:rPr>
        <w:footnoteReference w:id="7"/>
      </w:r>
      <w:r w:rsidR="00CD18A6" w:rsidRPr="004A7CCE">
        <w:rPr>
          <w:rFonts w:ascii="Times New Roman" w:hAnsi="Times New Roman" w:cs="Times New Roman"/>
          <w:sz w:val="24"/>
          <w:szCs w:val="24"/>
        </w:rPr>
        <w:t xml:space="preserve">  </w:t>
      </w:r>
      <w:r w:rsidR="00A63AD4">
        <w:rPr>
          <w:rFonts w:ascii="Times New Roman" w:hAnsi="Times New Roman" w:cs="Times New Roman"/>
          <w:sz w:val="24"/>
          <w:szCs w:val="24"/>
        </w:rPr>
        <w:t xml:space="preserve">However, as noted, in other instances, it is the test user (e.g., employer, </w:t>
      </w:r>
      <w:r w:rsidR="00A05643">
        <w:rPr>
          <w:rFonts w:ascii="Times New Roman" w:hAnsi="Times New Roman" w:cs="Times New Roman"/>
          <w:sz w:val="24"/>
          <w:szCs w:val="24"/>
        </w:rPr>
        <w:t xml:space="preserve">professional, institution) that makes those decision and </w:t>
      </w:r>
      <w:r w:rsidR="00690054">
        <w:rPr>
          <w:rFonts w:ascii="Times New Roman" w:hAnsi="Times New Roman" w:cs="Times New Roman"/>
          <w:sz w:val="24"/>
          <w:szCs w:val="24"/>
        </w:rPr>
        <w:t xml:space="preserve">therefore </w:t>
      </w:r>
      <w:r w:rsidR="00425A36">
        <w:rPr>
          <w:rFonts w:ascii="Times New Roman" w:hAnsi="Times New Roman" w:cs="Times New Roman"/>
          <w:sz w:val="24"/>
          <w:szCs w:val="24"/>
        </w:rPr>
        <w:t xml:space="preserve">must be treated as </w:t>
      </w:r>
      <w:r w:rsidR="00A05643">
        <w:rPr>
          <w:rFonts w:ascii="Times New Roman" w:hAnsi="Times New Roman" w:cs="Times New Roman"/>
          <w:sz w:val="24"/>
          <w:szCs w:val="24"/>
        </w:rPr>
        <w:t xml:space="preserve">the </w:t>
      </w:r>
      <w:r w:rsidR="00D501BE">
        <w:rPr>
          <w:rFonts w:ascii="Times New Roman" w:hAnsi="Times New Roman" w:cs="Times New Roman"/>
          <w:sz w:val="24"/>
          <w:szCs w:val="24"/>
        </w:rPr>
        <w:t xml:space="preserve">“covered business” or </w:t>
      </w:r>
      <w:r w:rsidR="00A05643">
        <w:rPr>
          <w:rFonts w:ascii="Times New Roman" w:hAnsi="Times New Roman" w:cs="Times New Roman"/>
          <w:sz w:val="24"/>
          <w:szCs w:val="24"/>
        </w:rPr>
        <w:t>“controller.”</w:t>
      </w:r>
    </w:p>
    <w:p w14:paraId="50E4115C" w14:textId="77777777" w:rsidR="003D1EB1" w:rsidRDefault="007E3C55" w:rsidP="003D1EB1">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Equally pertinent to this </w:t>
      </w:r>
      <w:r w:rsidR="00B91EF1">
        <w:rPr>
          <w:rFonts w:ascii="Times New Roman" w:hAnsi="Times New Roman" w:cs="Times New Roman"/>
          <w:sz w:val="24"/>
          <w:szCs w:val="24"/>
        </w:rPr>
        <w:t xml:space="preserve">control </w:t>
      </w:r>
      <w:r>
        <w:rPr>
          <w:rFonts w:ascii="Times New Roman" w:hAnsi="Times New Roman" w:cs="Times New Roman"/>
          <w:sz w:val="24"/>
          <w:szCs w:val="24"/>
        </w:rPr>
        <w:t xml:space="preserve">issue </w:t>
      </w:r>
      <w:r w:rsidR="00CD18A6">
        <w:rPr>
          <w:rFonts w:ascii="Times New Roman" w:hAnsi="Times New Roman" w:cs="Times New Roman"/>
          <w:sz w:val="24"/>
          <w:szCs w:val="24"/>
        </w:rPr>
        <w:t xml:space="preserve">is the key distinction between test takers’ personal information </w:t>
      </w:r>
      <w:r w:rsidR="00176BE9">
        <w:rPr>
          <w:rFonts w:ascii="Times New Roman" w:hAnsi="Times New Roman" w:cs="Times New Roman"/>
          <w:sz w:val="24"/>
          <w:szCs w:val="24"/>
        </w:rPr>
        <w:t xml:space="preserve">(e.g., name, address, email address) </w:t>
      </w:r>
      <w:r w:rsidR="00CD18A6">
        <w:rPr>
          <w:rFonts w:ascii="Times New Roman" w:hAnsi="Times New Roman" w:cs="Times New Roman"/>
          <w:sz w:val="24"/>
          <w:szCs w:val="24"/>
        </w:rPr>
        <w:t>and the outcome of testing services purchased by test takers – th</w:t>
      </w:r>
      <w:r w:rsidR="006B7B1D">
        <w:rPr>
          <w:rFonts w:ascii="Times New Roman" w:hAnsi="Times New Roman" w:cs="Times New Roman"/>
          <w:sz w:val="24"/>
          <w:szCs w:val="24"/>
        </w:rPr>
        <w:t>e test results or scores. Although</w:t>
      </w:r>
      <w:r w:rsidR="00CD18A6">
        <w:rPr>
          <w:rFonts w:ascii="Times New Roman" w:hAnsi="Times New Roman" w:cs="Times New Roman"/>
          <w:sz w:val="24"/>
          <w:szCs w:val="24"/>
        </w:rPr>
        <w:t xml:space="preserve"> it may be appropriate </w:t>
      </w:r>
      <w:r w:rsidR="00161949">
        <w:rPr>
          <w:rFonts w:ascii="Times New Roman" w:hAnsi="Times New Roman" w:cs="Times New Roman"/>
          <w:sz w:val="24"/>
          <w:szCs w:val="24"/>
        </w:rPr>
        <w:t xml:space="preserve">in some situations </w:t>
      </w:r>
      <w:r w:rsidR="00CD18A6">
        <w:rPr>
          <w:rFonts w:ascii="Times New Roman" w:hAnsi="Times New Roman" w:cs="Times New Roman"/>
          <w:sz w:val="24"/>
          <w:szCs w:val="24"/>
        </w:rPr>
        <w:t xml:space="preserve">to recognize that the answers to test items </w:t>
      </w:r>
      <w:r w:rsidR="006A5398">
        <w:rPr>
          <w:rFonts w:ascii="Times New Roman" w:hAnsi="Times New Roman" w:cs="Times New Roman"/>
          <w:sz w:val="24"/>
          <w:szCs w:val="24"/>
        </w:rPr>
        <w:t>written down</w:t>
      </w:r>
      <w:r w:rsidR="00CD18A6">
        <w:rPr>
          <w:rFonts w:ascii="Times New Roman" w:hAnsi="Times New Roman" w:cs="Times New Roman"/>
          <w:sz w:val="24"/>
          <w:szCs w:val="24"/>
        </w:rPr>
        <w:t xml:space="preserve"> by a test taker are “p</w:t>
      </w:r>
      <w:r w:rsidR="007B30A3">
        <w:rPr>
          <w:rFonts w:ascii="Times New Roman" w:hAnsi="Times New Roman" w:cs="Times New Roman"/>
          <w:sz w:val="24"/>
          <w:szCs w:val="24"/>
        </w:rPr>
        <w:t xml:space="preserve">ersonal” to that individual, </w:t>
      </w:r>
      <w:r w:rsidR="00CD18A6">
        <w:rPr>
          <w:rFonts w:ascii="Times New Roman" w:hAnsi="Times New Roman" w:cs="Times New Roman"/>
          <w:sz w:val="24"/>
          <w:szCs w:val="24"/>
        </w:rPr>
        <w:t>test results/scores are not</w:t>
      </w:r>
      <w:r w:rsidR="00161949">
        <w:rPr>
          <w:rFonts w:ascii="Times New Roman" w:hAnsi="Times New Roman" w:cs="Times New Roman"/>
          <w:sz w:val="24"/>
          <w:szCs w:val="24"/>
        </w:rPr>
        <w:t xml:space="preserve"> “collected” information</w:t>
      </w:r>
      <w:r w:rsidR="007B30A3">
        <w:rPr>
          <w:rFonts w:ascii="Times New Roman" w:hAnsi="Times New Roman" w:cs="Times New Roman"/>
          <w:sz w:val="24"/>
          <w:szCs w:val="24"/>
        </w:rPr>
        <w:t>.</w:t>
      </w:r>
      <w:r w:rsidR="002F5122">
        <w:rPr>
          <w:rStyle w:val="FootnoteReference"/>
          <w:rFonts w:ascii="Times New Roman" w:hAnsi="Times New Roman" w:cs="Times New Roman"/>
          <w:sz w:val="24"/>
          <w:szCs w:val="24"/>
        </w:rPr>
        <w:footnoteReference w:id="8"/>
      </w:r>
      <w:r w:rsidR="006A5398" w:rsidRPr="00981158">
        <w:rPr>
          <w:rFonts w:ascii="Times New Roman" w:hAnsi="Times New Roman" w:cs="Times New Roman"/>
          <w:sz w:val="24"/>
          <w:szCs w:val="24"/>
        </w:rPr>
        <w:t xml:space="preserve"> </w:t>
      </w:r>
      <w:r w:rsidR="007B30A3">
        <w:rPr>
          <w:rFonts w:ascii="Times New Roman" w:hAnsi="Times New Roman" w:cs="Times New Roman"/>
          <w:sz w:val="24"/>
          <w:szCs w:val="24"/>
        </w:rPr>
        <w:t>Test results/scores are</w:t>
      </w:r>
      <w:r w:rsidR="00176BE9">
        <w:rPr>
          <w:rFonts w:ascii="Times New Roman" w:hAnsi="Times New Roman" w:cs="Times New Roman"/>
          <w:sz w:val="24"/>
          <w:szCs w:val="24"/>
        </w:rPr>
        <w:t xml:space="preserve"> </w:t>
      </w:r>
      <w:r w:rsidR="00CD18A6">
        <w:rPr>
          <w:rFonts w:ascii="Times New Roman" w:hAnsi="Times New Roman" w:cs="Times New Roman"/>
          <w:sz w:val="24"/>
          <w:szCs w:val="24"/>
        </w:rPr>
        <w:t>the product</w:t>
      </w:r>
      <w:r w:rsidR="00776F2E">
        <w:rPr>
          <w:rFonts w:ascii="Times New Roman" w:hAnsi="Times New Roman" w:cs="Times New Roman"/>
          <w:sz w:val="24"/>
          <w:szCs w:val="24"/>
        </w:rPr>
        <w:t xml:space="preserve"> </w:t>
      </w:r>
      <w:r w:rsidR="00CD18A6">
        <w:rPr>
          <w:rFonts w:ascii="Times New Roman" w:hAnsi="Times New Roman" w:cs="Times New Roman"/>
          <w:sz w:val="24"/>
          <w:szCs w:val="24"/>
        </w:rPr>
        <w:t>of the test services procured by the consumer;</w:t>
      </w:r>
      <w:r w:rsidR="00176BE9">
        <w:rPr>
          <w:rFonts w:ascii="Times New Roman" w:hAnsi="Times New Roman" w:cs="Times New Roman"/>
          <w:sz w:val="24"/>
          <w:szCs w:val="24"/>
        </w:rPr>
        <w:t xml:space="preserve"> the</w:t>
      </w:r>
      <w:r w:rsidR="00030ABD">
        <w:rPr>
          <w:rFonts w:ascii="Times New Roman" w:hAnsi="Times New Roman" w:cs="Times New Roman"/>
          <w:sz w:val="24"/>
          <w:szCs w:val="24"/>
        </w:rPr>
        <w:t>y</w:t>
      </w:r>
      <w:r w:rsidR="00574A18">
        <w:rPr>
          <w:rFonts w:ascii="Times New Roman" w:hAnsi="Times New Roman" w:cs="Times New Roman"/>
          <w:sz w:val="24"/>
          <w:szCs w:val="24"/>
        </w:rPr>
        <w:t xml:space="preserve"> are not information</w:t>
      </w:r>
      <w:r w:rsidR="00176BE9">
        <w:rPr>
          <w:rFonts w:ascii="Times New Roman" w:hAnsi="Times New Roman" w:cs="Times New Roman"/>
          <w:sz w:val="24"/>
          <w:szCs w:val="24"/>
        </w:rPr>
        <w:t xml:space="preserve"> collected from</w:t>
      </w:r>
      <w:r w:rsidR="00776F2E">
        <w:rPr>
          <w:rFonts w:ascii="Times New Roman" w:hAnsi="Times New Roman" w:cs="Times New Roman"/>
          <w:sz w:val="24"/>
          <w:szCs w:val="24"/>
        </w:rPr>
        <w:t xml:space="preserve"> </w:t>
      </w:r>
      <w:r w:rsidR="00176BE9">
        <w:rPr>
          <w:rFonts w:ascii="Times New Roman" w:hAnsi="Times New Roman" w:cs="Times New Roman"/>
          <w:sz w:val="24"/>
          <w:szCs w:val="24"/>
        </w:rPr>
        <w:t xml:space="preserve">test takers, </w:t>
      </w:r>
    </w:p>
    <w:p w14:paraId="0938D7E1" w14:textId="77777777" w:rsidR="003D1EB1" w:rsidRDefault="003D1EB1" w:rsidP="003D1EB1">
      <w:pPr>
        <w:pStyle w:val="FootnoteText"/>
        <w:rPr>
          <w:rFonts w:ascii="Times New Roman" w:hAnsi="Times New Roman" w:cs="Times New Roman"/>
          <w:sz w:val="24"/>
          <w:szCs w:val="24"/>
        </w:rPr>
      </w:pPr>
    </w:p>
    <w:p w14:paraId="79BFF9B6" w14:textId="77777777" w:rsidR="003D1EB1" w:rsidRDefault="003D1EB1" w:rsidP="003D1EB1">
      <w:pPr>
        <w:pStyle w:val="FootnoteText"/>
        <w:rPr>
          <w:rFonts w:ascii="Times New Roman" w:hAnsi="Times New Roman" w:cs="Times New Roman"/>
          <w:sz w:val="24"/>
          <w:szCs w:val="24"/>
        </w:rPr>
      </w:pPr>
    </w:p>
    <w:p w14:paraId="0E65D6AD" w14:textId="77777777" w:rsidR="003D1EB1" w:rsidRDefault="003D1EB1" w:rsidP="003D1EB1">
      <w:pPr>
        <w:pStyle w:val="FootnoteText"/>
        <w:rPr>
          <w:rFonts w:ascii="Times New Roman" w:hAnsi="Times New Roman" w:cs="Times New Roman"/>
          <w:sz w:val="24"/>
          <w:szCs w:val="24"/>
        </w:rPr>
      </w:pPr>
    </w:p>
    <w:p w14:paraId="5E01E339" w14:textId="77777777" w:rsidR="003D1EB1" w:rsidRDefault="003D1EB1" w:rsidP="003D1EB1">
      <w:pPr>
        <w:pStyle w:val="FootnoteText"/>
        <w:rPr>
          <w:rFonts w:ascii="Times New Roman" w:hAnsi="Times New Roman" w:cs="Times New Roman"/>
          <w:sz w:val="24"/>
          <w:szCs w:val="24"/>
        </w:rPr>
      </w:pPr>
    </w:p>
    <w:p w14:paraId="22FCB66E" w14:textId="73E97386" w:rsidR="001B2732" w:rsidRDefault="00176BE9" w:rsidP="003D1EB1">
      <w:pPr>
        <w:pStyle w:val="FootnoteText"/>
        <w:rPr>
          <w:rFonts w:ascii="Times New Roman" w:hAnsi="Times New Roman" w:cs="Times New Roman"/>
          <w:sz w:val="24"/>
          <w:szCs w:val="24"/>
        </w:rPr>
      </w:pPr>
      <w:r>
        <w:rPr>
          <w:rFonts w:ascii="Times New Roman" w:hAnsi="Times New Roman" w:cs="Times New Roman"/>
          <w:sz w:val="24"/>
          <w:szCs w:val="24"/>
        </w:rPr>
        <w:lastRenderedPageBreak/>
        <w:t xml:space="preserve">but are derived </w:t>
      </w:r>
      <w:r w:rsidR="001B2732">
        <w:rPr>
          <w:rFonts w:ascii="Times New Roman" w:hAnsi="Times New Roman" w:cs="Times New Roman"/>
          <w:sz w:val="24"/>
          <w:szCs w:val="24"/>
        </w:rPr>
        <w:t xml:space="preserve">outcomes produced </w:t>
      </w:r>
      <w:r>
        <w:rPr>
          <w:rFonts w:ascii="Times New Roman" w:hAnsi="Times New Roman" w:cs="Times New Roman"/>
          <w:sz w:val="24"/>
          <w:szCs w:val="24"/>
        </w:rPr>
        <w:t>by the testing organization</w:t>
      </w:r>
      <w:r w:rsidR="007B30A3">
        <w:rPr>
          <w:rFonts w:ascii="Times New Roman" w:hAnsi="Times New Roman" w:cs="Times New Roman"/>
          <w:sz w:val="24"/>
          <w:szCs w:val="24"/>
        </w:rPr>
        <w:t xml:space="preserve"> using proprietary scoring rubrics</w:t>
      </w:r>
      <w:r>
        <w:rPr>
          <w:rFonts w:ascii="Times New Roman" w:hAnsi="Times New Roman" w:cs="Times New Roman"/>
          <w:sz w:val="24"/>
          <w:szCs w:val="24"/>
        </w:rPr>
        <w:t>.</w:t>
      </w:r>
      <w:r w:rsidR="00030ABD" w:rsidRPr="00AB5FA6">
        <w:rPr>
          <w:vertAlign w:val="superscript"/>
        </w:rPr>
        <w:footnoteReference w:id="9"/>
      </w:r>
      <w:r w:rsidRPr="00AB5FA6">
        <w:rPr>
          <w:rFonts w:ascii="Times New Roman" w:hAnsi="Times New Roman" w:cs="Times New Roman"/>
          <w:sz w:val="24"/>
          <w:szCs w:val="24"/>
          <w:vertAlign w:val="superscript"/>
        </w:rPr>
        <w:t xml:space="preserve">  </w:t>
      </w:r>
    </w:p>
    <w:p w14:paraId="53EF6018" w14:textId="77777777" w:rsidR="001B2732" w:rsidRDefault="001B2732" w:rsidP="00A20D0B">
      <w:pPr>
        <w:pStyle w:val="FootnoteText"/>
        <w:rPr>
          <w:rFonts w:ascii="Times New Roman" w:hAnsi="Times New Roman" w:cs="Times New Roman"/>
          <w:sz w:val="24"/>
          <w:szCs w:val="24"/>
        </w:rPr>
      </w:pPr>
    </w:p>
    <w:p w14:paraId="3FB64972" w14:textId="05978BDB" w:rsidR="00D3239C" w:rsidRDefault="00176BE9" w:rsidP="001A712E">
      <w:pPr>
        <w:pStyle w:val="FootnoteText"/>
        <w:ind w:firstLine="720"/>
        <w:rPr>
          <w:rFonts w:ascii="Times New Roman" w:hAnsi="Times New Roman" w:cs="Times New Roman"/>
          <w:sz w:val="24"/>
          <w:szCs w:val="24"/>
        </w:rPr>
      </w:pPr>
      <w:r>
        <w:rPr>
          <w:rFonts w:ascii="Times New Roman" w:hAnsi="Times New Roman" w:cs="Times New Roman"/>
          <w:sz w:val="24"/>
          <w:szCs w:val="24"/>
        </w:rPr>
        <w:t>M</w:t>
      </w:r>
      <w:r w:rsidR="00CD18A6">
        <w:rPr>
          <w:rFonts w:ascii="Times New Roman" w:hAnsi="Times New Roman" w:cs="Times New Roman"/>
          <w:sz w:val="24"/>
          <w:szCs w:val="24"/>
        </w:rPr>
        <w:t>oreover, the uses of test</w:t>
      </w:r>
      <w:r>
        <w:rPr>
          <w:rFonts w:ascii="Times New Roman" w:hAnsi="Times New Roman" w:cs="Times New Roman"/>
          <w:sz w:val="24"/>
          <w:szCs w:val="24"/>
        </w:rPr>
        <w:t xml:space="preserve"> results/scores </w:t>
      </w:r>
      <w:r w:rsidR="00574A18">
        <w:rPr>
          <w:rFonts w:ascii="Times New Roman" w:hAnsi="Times New Roman" w:cs="Times New Roman"/>
          <w:sz w:val="24"/>
          <w:szCs w:val="24"/>
        </w:rPr>
        <w:t xml:space="preserve">are </w:t>
      </w:r>
      <w:r w:rsidR="00161949">
        <w:rPr>
          <w:rFonts w:ascii="Times New Roman" w:hAnsi="Times New Roman" w:cs="Times New Roman"/>
          <w:sz w:val="24"/>
          <w:szCs w:val="24"/>
        </w:rPr>
        <w:t>co-extensive</w:t>
      </w:r>
      <w:r w:rsidR="009B6592">
        <w:rPr>
          <w:rFonts w:ascii="Times New Roman" w:hAnsi="Times New Roman" w:cs="Times New Roman"/>
          <w:sz w:val="24"/>
          <w:szCs w:val="24"/>
        </w:rPr>
        <w:t xml:space="preserve"> w</w:t>
      </w:r>
      <w:r>
        <w:rPr>
          <w:rFonts w:ascii="Times New Roman" w:hAnsi="Times New Roman" w:cs="Times New Roman"/>
          <w:sz w:val="24"/>
          <w:szCs w:val="24"/>
        </w:rPr>
        <w:t>i</w:t>
      </w:r>
      <w:r w:rsidR="009B6592">
        <w:rPr>
          <w:rFonts w:ascii="Times New Roman" w:hAnsi="Times New Roman" w:cs="Times New Roman"/>
          <w:sz w:val="24"/>
          <w:szCs w:val="24"/>
        </w:rPr>
        <w:t>t</w:t>
      </w:r>
      <w:r>
        <w:rPr>
          <w:rFonts w:ascii="Times New Roman" w:hAnsi="Times New Roman" w:cs="Times New Roman"/>
          <w:sz w:val="24"/>
          <w:szCs w:val="24"/>
        </w:rPr>
        <w:t>h</w:t>
      </w:r>
      <w:r w:rsidR="00CD18A6">
        <w:rPr>
          <w:rFonts w:ascii="Times New Roman" w:hAnsi="Times New Roman" w:cs="Times New Roman"/>
          <w:sz w:val="24"/>
          <w:szCs w:val="24"/>
        </w:rPr>
        <w:t xml:space="preserve"> the need of each test taker for the testing services.  In other words, if an individual is seeking a license/certificate documenting a particular skill (e.g., in law, medicine, technology), the issuer of that license/certificate is </w:t>
      </w:r>
      <w:r>
        <w:rPr>
          <w:rFonts w:ascii="Times New Roman" w:hAnsi="Times New Roman" w:cs="Times New Roman"/>
          <w:sz w:val="24"/>
          <w:szCs w:val="24"/>
        </w:rPr>
        <w:t xml:space="preserve">the </w:t>
      </w:r>
      <w:r w:rsidR="00CD18A6">
        <w:rPr>
          <w:rFonts w:ascii="Times New Roman" w:hAnsi="Times New Roman" w:cs="Times New Roman"/>
          <w:sz w:val="24"/>
          <w:szCs w:val="24"/>
        </w:rPr>
        <w:t xml:space="preserve">owner of the test </w:t>
      </w:r>
      <w:r w:rsidR="006B3A18">
        <w:rPr>
          <w:rFonts w:ascii="Times New Roman" w:hAnsi="Times New Roman" w:cs="Times New Roman"/>
          <w:sz w:val="24"/>
          <w:szCs w:val="24"/>
        </w:rPr>
        <w:t xml:space="preserve">and the outcome </w:t>
      </w:r>
      <w:r>
        <w:rPr>
          <w:rFonts w:ascii="Times New Roman" w:hAnsi="Times New Roman" w:cs="Times New Roman"/>
          <w:sz w:val="24"/>
          <w:szCs w:val="24"/>
        </w:rPr>
        <w:t xml:space="preserve">is </w:t>
      </w:r>
      <w:r w:rsidR="00CD18A6">
        <w:rPr>
          <w:rFonts w:ascii="Times New Roman" w:hAnsi="Times New Roman" w:cs="Times New Roman"/>
          <w:sz w:val="24"/>
          <w:szCs w:val="24"/>
        </w:rPr>
        <w:t xml:space="preserve">based on the </w:t>
      </w:r>
      <w:r w:rsidR="00161949">
        <w:rPr>
          <w:rFonts w:ascii="Times New Roman" w:hAnsi="Times New Roman" w:cs="Times New Roman"/>
          <w:sz w:val="24"/>
          <w:szCs w:val="24"/>
        </w:rPr>
        <w:t>individual’s test results/score; similarly, i</w:t>
      </w:r>
      <w:r w:rsidR="00CD18A6">
        <w:rPr>
          <w:rFonts w:ascii="Times New Roman" w:hAnsi="Times New Roman" w:cs="Times New Roman"/>
          <w:sz w:val="24"/>
          <w:szCs w:val="24"/>
        </w:rPr>
        <w:t xml:space="preserve">f an individual is seeking a </w:t>
      </w:r>
      <w:r w:rsidR="001B2732">
        <w:rPr>
          <w:rFonts w:ascii="Times New Roman" w:hAnsi="Times New Roman" w:cs="Times New Roman"/>
          <w:sz w:val="24"/>
          <w:szCs w:val="24"/>
        </w:rPr>
        <w:t xml:space="preserve">job or a </w:t>
      </w:r>
      <w:r w:rsidR="00CD18A6">
        <w:rPr>
          <w:rFonts w:ascii="Times New Roman" w:hAnsi="Times New Roman" w:cs="Times New Roman"/>
          <w:sz w:val="24"/>
          <w:szCs w:val="24"/>
        </w:rPr>
        <w:t>promotion, that decision is made by th</w:t>
      </w:r>
      <w:r w:rsidR="006B3A18">
        <w:rPr>
          <w:rFonts w:ascii="Times New Roman" w:hAnsi="Times New Roman" w:cs="Times New Roman"/>
          <w:sz w:val="24"/>
          <w:szCs w:val="24"/>
        </w:rPr>
        <w:t xml:space="preserve">e employer, </w:t>
      </w:r>
      <w:r w:rsidR="00161949">
        <w:rPr>
          <w:rFonts w:ascii="Times New Roman" w:hAnsi="Times New Roman" w:cs="Times New Roman"/>
          <w:sz w:val="24"/>
          <w:szCs w:val="24"/>
        </w:rPr>
        <w:t>based upon various</w:t>
      </w:r>
      <w:r w:rsidR="006B3A18">
        <w:rPr>
          <w:rFonts w:ascii="Times New Roman" w:hAnsi="Times New Roman" w:cs="Times New Roman"/>
          <w:sz w:val="24"/>
          <w:szCs w:val="24"/>
        </w:rPr>
        <w:t xml:space="preserve"> factors, including the</w:t>
      </w:r>
      <w:r w:rsidR="00CD18A6">
        <w:rPr>
          <w:rFonts w:ascii="Times New Roman" w:hAnsi="Times New Roman" w:cs="Times New Roman"/>
          <w:sz w:val="24"/>
          <w:szCs w:val="24"/>
        </w:rPr>
        <w:t xml:space="preserve"> individual’s test results/scores.  Application of overly</w:t>
      </w:r>
      <w:r w:rsidR="00DF6FF5">
        <w:rPr>
          <w:rFonts w:ascii="Times New Roman" w:hAnsi="Times New Roman" w:cs="Times New Roman"/>
          <w:sz w:val="24"/>
          <w:szCs w:val="24"/>
        </w:rPr>
        <w:t>-prescriptive</w:t>
      </w:r>
      <w:r w:rsidR="00CD18A6">
        <w:rPr>
          <w:rFonts w:ascii="Times New Roman" w:hAnsi="Times New Roman" w:cs="Times New Roman"/>
          <w:sz w:val="24"/>
          <w:szCs w:val="24"/>
        </w:rPr>
        <w:t xml:space="preserve"> privacy requirements on the sharing of an individual’s test results/scores defeats the very purpose the </w:t>
      </w:r>
      <w:r w:rsidR="00075CCF">
        <w:rPr>
          <w:rFonts w:ascii="Times New Roman" w:hAnsi="Times New Roman" w:cs="Times New Roman"/>
          <w:sz w:val="24"/>
          <w:szCs w:val="24"/>
        </w:rPr>
        <w:t>person</w:t>
      </w:r>
      <w:r w:rsidR="00CD18A6">
        <w:rPr>
          <w:rFonts w:ascii="Times New Roman" w:hAnsi="Times New Roman" w:cs="Times New Roman"/>
          <w:sz w:val="24"/>
          <w:szCs w:val="24"/>
        </w:rPr>
        <w:t xml:space="preserve"> ha</w:t>
      </w:r>
      <w:r w:rsidR="00075CCF">
        <w:rPr>
          <w:rFonts w:ascii="Times New Roman" w:hAnsi="Times New Roman" w:cs="Times New Roman"/>
          <w:sz w:val="24"/>
          <w:szCs w:val="24"/>
        </w:rPr>
        <w:t>s</w:t>
      </w:r>
      <w:r w:rsidR="00CD18A6">
        <w:rPr>
          <w:rFonts w:ascii="Times New Roman" w:hAnsi="Times New Roman" w:cs="Times New Roman"/>
          <w:sz w:val="24"/>
          <w:szCs w:val="24"/>
        </w:rPr>
        <w:t xml:space="preserve"> in taking the test in the first place.</w:t>
      </w:r>
      <w:r w:rsidR="00CD18A6">
        <w:rPr>
          <w:rStyle w:val="FootnoteReference"/>
          <w:rFonts w:ascii="Times New Roman" w:hAnsi="Times New Roman" w:cs="Times New Roman"/>
          <w:sz w:val="24"/>
          <w:szCs w:val="24"/>
        </w:rPr>
        <w:footnoteReference w:id="10"/>
      </w:r>
      <w:r w:rsidR="00CD18A6">
        <w:rPr>
          <w:rFonts w:ascii="Times New Roman" w:hAnsi="Times New Roman" w:cs="Times New Roman"/>
          <w:sz w:val="24"/>
          <w:szCs w:val="24"/>
        </w:rPr>
        <w:t xml:space="preserve">  </w:t>
      </w:r>
    </w:p>
    <w:p w14:paraId="4F2C7B98" w14:textId="77777777" w:rsidR="000367A7" w:rsidRDefault="000367A7" w:rsidP="00A20D0B">
      <w:pPr>
        <w:pStyle w:val="FootnoteText"/>
        <w:ind w:firstLine="720"/>
        <w:rPr>
          <w:rFonts w:ascii="Times New Roman" w:hAnsi="Times New Roman" w:cs="Times New Roman"/>
          <w:sz w:val="24"/>
          <w:szCs w:val="24"/>
        </w:rPr>
      </w:pPr>
    </w:p>
    <w:p w14:paraId="788E669C" w14:textId="25626ADF" w:rsidR="00BB5375" w:rsidRPr="00A20D0B" w:rsidRDefault="00C23F40" w:rsidP="00A20D0B">
      <w:pPr>
        <w:pStyle w:val="FootnoteText"/>
        <w:ind w:firstLine="720"/>
        <w:rPr>
          <w:rFonts w:ascii="Times New Roman" w:hAnsi="Times New Roman" w:cs="Times New Roman"/>
          <w:sz w:val="24"/>
          <w:szCs w:val="24"/>
        </w:rPr>
      </w:pPr>
      <w:r>
        <w:rPr>
          <w:rFonts w:ascii="Times New Roman" w:hAnsi="Times New Roman" w:cs="Times New Roman"/>
          <w:sz w:val="24"/>
          <w:szCs w:val="24"/>
        </w:rPr>
        <w:t>Th</w:t>
      </w:r>
      <w:r w:rsidR="00FD5035">
        <w:rPr>
          <w:rFonts w:ascii="Times New Roman" w:hAnsi="Times New Roman" w:cs="Times New Roman"/>
          <w:sz w:val="24"/>
          <w:szCs w:val="24"/>
        </w:rPr>
        <w:t>e A</w:t>
      </w:r>
      <w:r w:rsidR="00E172BF">
        <w:rPr>
          <w:rFonts w:ascii="Times New Roman" w:hAnsi="Times New Roman" w:cs="Times New Roman"/>
          <w:sz w:val="24"/>
          <w:szCs w:val="24"/>
        </w:rPr>
        <w:t>TP has presented this</w:t>
      </w:r>
      <w:r>
        <w:rPr>
          <w:rFonts w:ascii="Times New Roman" w:hAnsi="Times New Roman" w:cs="Times New Roman"/>
          <w:sz w:val="24"/>
          <w:szCs w:val="24"/>
        </w:rPr>
        <w:t xml:space="preserve"> background information on the roles and responsibilities </w:t>
      </w:r>
      <w:r w:rsidR="00CF0283">
        <w:rPr>
          <w:rFonts w:ascii="Times New Roman" w:hAnsi="Times New Roman" w:cs="Times New Roman"/>
          <w:sz w:val="24"/>
          <w:szCs w:val="24"/>
        </w:rPr>
        <w:t xml:space="preserve">experienced </w:t>
      </w:r>
      <w:r>
        <w:rPr>
          <w:rFonts w:ascii="Times New Roman" w:hAnsi="Times New Roman" w:cs="Times New Roman"/>
          <w:sz w:val="24"/>
          <w:szCs w:val="24"/>
        </w:rPr>
        <w:t xml:space="preserve">in the </w:t>
      </w:r>
      <w:r w:rsidR="004C6240">
        <w:rPr>
          <w:rFonts w:ascii="Times New Roman" w:hAnsi="Times New Roman" w:cs="Times New Roman"/>
          <w:sz w:val="24"/>
          <w:szCs w:val="24"/>
        </w:rPr>
        <w:t xml:space="preserve">assessment/learning </w:t>
      </w:r>
      <w:r>
        <w:rPr>
          <w:rFonts w:ascii="Times New Roman" w:hAnsi="Times New Roman" w:cs="Times New Roman"/>
          <w:sz w:val="24"/>
          <w:szCs w:val="24"/>
        </w:rPr>
        <w:t xml:space="preserve">industry </w:t>
      </w:r>
      <w:r w:rsidR="00E172BF">
        <w:rPr>
          <w:rFonts w:ascii="Times New Roman" w:hAnsi="Times New Roman" w:cs="Times New Roman"/>
          <w:sz w:val="24"/>
          <w:szCs w:val="24"/>
        </w:rPr>
        <w:t xml:space="preserve">as a framework </w:t>
      </w:r>
      <w:r w:rsidR="00E44432">
        <w:rPr>
          <w:rFonts w:ascii="Times New Roman" w:hAnsi="Times New Roman" w:cs="Times New Roman"/>
          <w:sz w:val="24"/>
          <w:szCs w:val="24"/>
        </w:rPr>
        <w:t>within which t</w:t>
      </w:r>
      <w:r w:rsidR="00CD18A6">
        <w:rPr>
          <w:rFonts w:ascii="Times New Roman" w:hAnsi="Times New Roman" w:cs="Times New Roman"/>
          <w:sz w:val="24"/>
          <w:szCs w:val="24"/>
        </w:rPr>
        <w:t xml:space="preserve">o </w:t>
      </w:r>
      <w:r w:rsidR="00E44432">
        <w:rPr>
          <w:rFonts w:ascii="Times New Roman" w:hAnsi="Times New Roman" w:cs="Times New Roman"/>
          <w:sz w:val="24"/>
          <w:szCs w:val="24"/>
        </w:rPr>
        <w:t xml:space="preserve">address </w:t>
      </w:r>
      <w:r w:rsidR="00CD18A6">
        <w:rPr>
          <w:rFonts w:ascii="Times New Roman" w:hAnsi="Times New Roman" w:cs="Times New Roman"/>
          <w:sz w:val="24"/>
          <w:szCs w:val="24"/>
        </w:rPr>
        <w:t>specific Proposed Regulations</w:t>
      </w:r>
      <w:r w:rsidR="00E44432">
        <w:rPr>
          <w:rFonts w:ascii="Times New Roman" w:hAnsi="Times New Roman" w:cs="Times New Roman"/>
          <w:sz w:val="24"/>
          <w:szCs w:val="24"/>
        </w:rPr>
        <w:t xml:space="preserve"> </w:t>
      </w:r>
      <w:r w:rsidR="00A20D0B">
        <w:rPr>
          <w:rFonts w:ascii="Times New Roman" w:hAnsi="Times New Roman" w:cs="Times New Roman"/>
          <w:sz w:val="24"/>
          <w:szCs w:val="24"/>
        </w:rPr>
        <w:t>in the following comments.</w:t>
      </w:r>
    </w:p>
    <w:p w14:paraId="0A035A33" w14:textId="77777777" w:rsidR="00C83ED4" w:rsidRDefault="00C83ED4" w:rsidP="009F0034">
      <w:pPr>
        <w:pStyle w:val="FootnoteText"/>
        <w:rPr>
          <w:rFonts w:ascii="Times New Roman" w:hAnsi="Times New Roman" w:cs="Times New Roman"/>
          <w:b/>
          <w:sz w:val="28"/>
          <w:szCs w:val="28"/>
          <w:u w:val="single"/>
        </w:rPr>
      </w:pPr>
    </w:p>
    <w:p w14:paraId="3DA7FCD1" w14:textId="77777777" w:rsidR="0098142D" w:rsidRPr="00F54069" w:rsidRDefault="0098142D" w:rsidP="009F0034">
      <w:pPr>
        <w:pStyle w:val="FootnoteText"/>
        <w:rPr>
          <w:rFonts w:ascii="Times New Roman" w:hAnsi="Times New Roman" w:cs="Times New Roman"/>
          <w:b/>
          <w:sz w:val="28"/>
          <w:szCs w:val="28"/>
          <w:u w:val="single"/>
        </w:rPr>
      </w:pPr>
      <w:r w:rsidRPr="00F54069">
        <w:rPr>
          <w:rFonts w:ascii="Times New Roman" w:hAnsi="Times New Roman" w:cs="Times New Roman"/>
          <w:b/>
          <w:sz w:val="28"/>
          <w:szCs w:val="28"/>
          <w:u w:val="single"/>
        </w:rPr>
        <w:t>Comments on the Proposed Regulations</w:t>
      </w:r>
    </w:p>
    <w:p w14:paraId="709AB0CB" w14:textId="77777777" w:rsidR="009F0034" w:rsidRPr="009F0034" w:rsidRDefault="009F0034" w:rsidP="009F0034">
      <w:pPr>
        <w:pStyle w:val="FootnoteText"/>
        <w:rPr>
          <w:rFonts w:ascii="Times New Roman" w:hAnsi="Times New Roman" w:cs="Times New Roman"/>
          <w:sz w:val="24"/>
          <w:szCs w:val="24"/>
        </w:rPr>
      </w:pPr>
    </w:p>
    <w:p w14:paraId="2028018F" w14:textId="77777777" w:rsidR="00141BFD" w:rsidRPr="00141BFD" w:rsidRDefault="00141BFD" w:rsidP="0098142D">
      <w:pPr>
        <w:pStyle w:val="ListParagraph"/>
        <w:numPr>
          <w:ilvl w:val="0"/>
          <w:numId w:val="11"/>
        </w:numPr>
        <w:rPr>
          <w:rFonts w:ascii="Times New Roman" w:hAnsi="Times New Roman" w:cs="Times New Roman"/>
          <w:b/>
          <w:bCs/>
          <w:sz w:val="24"/>
          <w:szCs w:val="24"/>
        </w:rPr>
      </w:pPr>
      <w:r w:rsidRPr="00141BFD">
        <w:rPr>
          <w:rFonts w:ascii="Times New Roman" w:hAnsi="Times New Roman" w:cs="Times New Roman"/>
          <w:b/>
          <w:bCs/>
          <w:sz w:val="24"/>
          <w:szCs w:val="24"/>
        </w:rPr>
        <w:t>Authorized Agent</w:t>
      </w:r>
    </w:p>
    <w:p w14:paraId="26AD6B03" w14:textId="6EFA9E9B" w:rsidR="009E15F4" w:rsidRDefault="0091764D" w:rsidP="0091764D">
      <w:pPr>
        <w:ind w:firstLine="720"/>
        <w:rPr>
          <w:rFonts w:ascii="Times New Roman" w:hAnsi="Times New Roman" w:cs="Times New Roman"/>
          <w:sz w:val="24"/>
          <w:szCs w:val="24"/>
        </w:rPr>
      </w:pPr>
      <w:r>
        <w:rPr>
          <w:rFonts w:ascii="Times New Roman" w:hAnsi="Times New Roman" w:cs="Times New Roman"/>
          <w:sz w:val="24"/>
          <w:szCs w:val="24"/>
        </w:rPr>
        <w:t>T</w:t>
      </w:r>
      <w:r w:rsidR="00141BFD">
        <w:rPr>
          <w:rFonts w:ascii="Times New Roman" w:hAnsi="Times New Roman" w:cs="Times New Roman"/>
          <w:sz w:val="24"/>
          <w:szCs w:val="24"/>
        </w:rPr>
        <w:t xml:space="preserve">he Agency </w:t>
      </w:r>
      <w:r>
        <w:rPr>
          <w:rFonts w:ascii="Times New Roman" w:hAnsi="Times New Roman" w:cs="Times New Roman"/>
          <w:sz w:val="24"/>
          <w:szCs w:val="24"/>
        </w:rPr>
        <w:t>proposes to</w:t>
      </w:r>
      <w:r w:rsidR="00141BFD">
        <w:rPr>
          <w:rFonts w:ascii="Times New Roman" w:hAnsi="Times New Roman" w:cs="Times New Roman"/>
          <w:sz w:val="24"/>
          <w:szCs w:val="24"/>
        </w:rPr>
        <w:t xml:space="preserve"> delete the requirement that an “Authorized </w:t>
      </w:r>
      <w:r w:rsidR="00350460">
        <w:rPr>
          <w:rFonts w:ascii="Times New Roman" w:hAnsi="Times New Roman" w:cs="Times New Roman"/>
          <w:sz w:val="24"/>
          <w:szCs w:val="24"/>
        </w:rPr>
        <w:t>A</w:t>
      </w:r>
      <w:r w:rsidR="00141BFD">
        <w:rPr>
          <w:rFonts w:ascii="Times New Roman" w:hAnsi="Times New Roman" w:cs="Times New Roman"/>
          <w:sz w:val="24"/>
          <w:szCs w:val="24"/>
        </w:rPr>
        <w:t xml:space="preserve">gent” is registered with the Secretary of State, </w:t>
      </w:r>
      <w:r w:rsidR="00953F10">
        <w:rPr>
          <w:rFonts w:ascii="Times New Roman" w:hAnsi="Times New Roman" w:cs="Times New Roman"/>
          <w:sz w:val="24"/>
          <w:szCs w:val="24"/>
        </w:rPr>
        <w:t>apparently intending</w:t>
      </w:r>
      <w:r w:rsidR="00141BFD">
        <w:rPr>
          <w:rFonts w:ascii="Times New Roman" w:hAnsi="Times New Roman" w:cs="Times New Roman"/>
          <w:sz w:val="24"/>
          <w:szCs w:val="24"/>
        </w:rPr>
        <w:t xml:space="preserve"> that a consumer would be able to authorize anyone to act on their behalf.</w:t>
      </w:r>
      <w:r w:rsidR="000B146B" w:rsidRPr="00095EB0">
        <w:rPr>
          <w:sz w:val="20"/>
          <w:szCs w:val="20"/>
          <w:vertAlign w:val="superscript"/>
        </w:rPr>
        <w:footnoteReference w:id="11"/>
      </w:r>
      <w:r w:rsidR="00141BFD" w:rsidRPr="00095EB0">
        <w:rPr>
          <w:rFonts w:ascii="Times New Roman" w:hAnsi="Times New Roman" w:cs="Times New Roman"/>
          <w:sz w:val="24"/>
          <w:szCs w:val="24"/>
          <w:vertAlign w:val="superscript"/>
        </w:rPr>
        <w:t xml:space="preserve"> </w:t>
      </w:r>
      <w:r w:rsidR="00141BFD">
        <w:rPr>
          <w:rFonts w:ascii="Times New Roman" w:hAnsi="Times New Roman" w:cs="Times New Roman"/>
          <w:sz w:val="24"/>
          <w:szCs w:val="24"/>
        </w:rPr>
        <w:t xml:space="preserve"> </w:t>
      </w:r>
      <w:r w:rsidR="002B43ED">
        <w:rPr>
          <w:rFonts w:ascii="Times New Roman" w:hAnsi="Times New Roman" w:cs="Times New Roman"/>
          <w:sz w:val="24"/>
          <w:szCs w:val="24"/>
        </w:rPr>
        <w:t xml:space="preserve">Moreover, Section </w:t>
      </w:r>
      <w:r w:rsidR="0046465E" w:rsidRPr="0046465E">
        <w:rPr>
          <w:rFonts w:ascii="Times New Roman" w:hAnsi="Times New Roman" w:cs="Times New Roman"/>
          <w:sz w:val="24"/>
          <w:szCs w:val="24"/>
        </w:rPr>
        <w:t>§</w:t>
      </w:r>
      <w:r w:rsidR="005B6AC3">
        <w:rPr>
          <w:rFonts w:ascii="Times New Roman" w:hAnsi="Times New Roman" w:cs="Times New Roman"/>
          <w:sz w:val="24"/>
          <w:szCs w:val="24"/>
        </w:rPr>
        <w:t xml:space="preserve">7063(b) of the Proposed Regulations </w:t>
      </w:r>
      <w:r w:rsidR="00482887">
        <w:rPr>
          <w:rFonts w:ascii="Times New Roman" w:hAnsi="Times New Roman" w:cs="Times New Roman"/>
          <w:sz w:val="24"/>
          <w:szCs w:val="24"/>
        </w:rPr>
        <w:t xml:space="preserve">regarding </w:t>
      </w:r>
      <w:r w:rsidR="005B6AC3">
        <w:rPr>
          <w:rFonts w:ascii="Times New Roman" w:hAnsi="Times New Roman" w:cs="Times New Roman"/>
          <w:sz w:val="24"/>
          <w:szCs w:val="24"/>
        </w:rPr>
        <w:t>“Authorized Agents</w:t>
      </w:r>
      <w:r w:rsidR="00482887">
        <w:rPr>
          <w:rFonts w:ascii="Times New Roman" w:hAnsi="Times New Roman" w:cs="Times New Roman"/>
          <w:sz w:val="24"/>
          <w:szCs w:val="24"/>
        </w:rPr>
        <w:t>,</w:t>
      </w:r>
      <w:r w:rsidR="005B6AC3">
        <w:rPr>
          <w:rFonts w:ascii="Times New Roman" w:hAnsi="Times New Roman" w:cs="Times New Roman"/>
          <w:sz w:val="24"/>
          <w:szCs w:val="24"/>
        </w:rPr>
        <w:t>” states that</w:t>
      </w:r>
      <w:r w:rsidR="00B727B1">
        <w:rPr>
          <w:rFonts w:ascii="Times New Roman" w:hAnsi="Times New Roman" w:cs="Times New Roman"/>
          <w:sz w:val="24"/>
          <w:szCs w:val="24"/>
        </w:rPr>
        <w:t xml:space="preserve">: </w:t>
      </w:r>
      <w:r w:rsidR="005B6AC3">
        <w:rPr>
          <w:rFonts w:ascii="Times New Roman" w:hAnsi="Times New Roman" w:cs="Times New Roman"/>
          <w:sz w:val="24"/>
          <w:szCs w:val="24"/>
        </w:rPr>
        <w:t>“</w:t>
      </w:r>
      <w:r w:rsidR="00290C60">
        <w:rPr>
          <w:rFonts w:ascii="Times New Roman" w:hAnsi="Times New Roman" w:cs="Times New Roman"/>
          <w:sz w:val="24"/>
          <w:szCs w:val="24"/>
        </w:rPr>
        <w:t xml:space="preserve">A </w:t>
      </w:r>
      <w:r w:rsidR="005B6AC3">
        <w:rPr>
          <w:rFonts w:ascii="Times New Roman" w:hAnsi="Times New Roman" w:cs="Times New Roman"/>
          <w:sz w:val="24"/>
          <w:szCs w:val="24"/>
        </w:rPr>
        <w:t xml:space="preserve">business shall not require a power of attorney in order for a consumer to use an authorized agent to act on their behalf.” </w:t>
      </w:r>
      <w:r w:rsidR="0053018A">
        <w:rPr>
          <w:rFonts w:ascii="Times New Roman" w:hAnsi="Times New Roman" w:cs="Times New Roman"/>
          <w:sz w:val="24"/>
          <w:szCs w:val="24"/>
        </w:rPr>
        <w:t>We also note that t</w:t>
      </w:r>
      <w:r w:rsidR="00290C60">
        <w:rPr>
          <w:rFonts w:ascii="Times New Roman" w:hAnsi="Times New Roman" w:cs="Times New Roman"/>
          <w:sz w:val="24"/>
          <w:szCs w:val="24"/>
        </w:rPr>
        <w:t>he authorized agent is only required to implement and maintain reasonable security procedures and practices to protect the consumer’s personal information</w:t>
      </w:r>
      <w:r w:rsidR="008224C8">
        <w:rPr>
          <w:rFonts w:ascii="Times New Roman" w:hAnsi="Times New Roman" w:cs="Times New Roman"/>
          <w:sz w:val="24"/>
          <w:szCs w:val="24"/>
        </w:rPr>
        <w:t xml:space="preserve"> (</w:t>
      </w:r>
      <w:bookmarkStart w:id="0" w:name="_Hlk108514148"/>
      <w:r w:rsidR="0053018A">
        <w:rPr>
          <w:rFonts w:ascii="Times New Roman" w:hAnsi="Times New Roman" w:cs="Times New Roman"/>
          <w:i/>
          <w:iCs/>
          <w:sz w:val="24"/>
          <w:szCs w:val="24"/>
        </w:rPr>
        <w:t xml:space="preserve">see </w:t>
      </w:r>
      <w:r w:rsidR="008224C8">
        <w:rPr>
          <w:rFonts w:ascii="Times New Roman" w:hAnsi="Times New Roman" w:cs="Times New Roman"/>
          <w:sz w:val="24"/>
          <w:szCs w:val="24"/>
        </w:rPr>
        <w:t>§</w:t>
      </w:r>
      <w:bookmarkEnd w:id="0"/>
      <w:r w:rsidR="008224C8">
        <w:rPr>
          <w:rFonts w:ascii="Times New Roman" w:hAnsi="Times New Roman" w:cs="Times New Roman"/>
          <w:sz w:val="24"/>
          <w:szCs w:val="24"/>
        </w:rPr>
        <w:t>7063(c)).</w:t>
      </w:r>
      <w:r w:rsidR="005B6AC3">
        <w:rPr>
          <w:rFonts w:ascii="Times New Roman" w:hAnsi="Times New Roman" w:cs="Times New Roman"/>
          <w:sz w:val="24"/>
          <w:szCs w:val="24"/>
        </w:rPr>
        <w:t xml:space="preserve"> </w:t>
      </w:r>
    </w:p>
    <w:p w14:paraId="1F57B576" w14:textId="0E6E08C5" w:rsidR="00141BFD" w:rsidRDefault="00141BFD" w:rsidP="0091764D">
      <w:pPr>
        <w:ind w:firstLine="720"/>
        <w:rPr>
          <w:rFonts w:ascii="Times New Roman" w:hAnsi="Times New Roman" w:cs="Times New Roman"/>
          <w:sz w:val="24"/>
          <w:szCs w:val="24"/>
        </w:rPr>
      </w:pPr>
      <w:r>
        <w:rPr>
          <w:rFonts w:ascii="Times New Roman" w:hAnsi="Times New Roman" w:cs="Times New Roman"/>
          <w:sz w:val="24"/>
          <w:szCs w:val="24"/>
        </w:rPr>
        <w:lastRenderedPageBreak/>
        <w:t>The ATP has serious concerns about th</w:t>
      </w:r>
      <w:r w:rsidR="008224C8">
        <w:rPr>
          <w:rFonts w:ascii="Times New Roman" w:hAnsi="Times New Roman" w:cs="Times New Roman"/>
          <w:sz w:val="24"/>
          <w:szCs w:val="24"/>
        </w:rPr>
        <w:t>ese</w:t>
      </w:r>
      <w:r>
        <w:rPr>
          <w:rFonts w:ascii="Times New Roman" w:hAnsi="Times New Roman" w:cs="Times New Roman"/>
          <w:sz w:val="24"/>
          <w:szCs w:val="24"/>
        </w:rPr>
        <w:t xml:space="preserve"> revision</w:t>
      </w:r>
      <w:r w:rsidR="008224C8">
        <w:rPr>
          <w:rFonts w:ascii="Times New Roman" w:hAnsi="Times New Roman" w:cs="Times New Roman"/>
          <w:sz w:val="24"/>
          <w:szCs w:val="24"/>
        </w:rPr>
        <w:t>s</w:t>
      </w:r>
      <w:r>
        <w:rPr>
          <w:rFonts w:ascii="Times New Roman" w:hAnsi="Times New Roman" w:cs="Times New Roman"/>
          <w:sz w:val="24"/>
          <w:szCs w:val="24"/>
        </w:rPr>
        <w:t xml:space="preserve"> </w:t>
      </w:r>
      <w:r w:rsidR="0053018A">
        <w:rPr>
          <w:rFonts w:ascii="Times New Roman" w:hAnsi="Times New Roman" w:cs="Times New Roman"/>
          <w:sz w:val="24"/>
          <w:szCs w:val="24"/>
        </w:rPr>
        <w:t xml:space="preserve">because </w:t>
      </w:r>
      <w:r w:rsidR="008224C8">
        <w:rPr>
          <w:rFonts w:ascii="Times New Roman" w:hAnsi="Times New Roman" w:cs="Times New Roman"/>
          <w:sz w:val="24"/>
          <w:szCs w:val="24"/>
        </w:rPr>
        <w:t xml:space="preserve">they </w:t>
      </w:r>
      <w:r>
        <w:rPr>
          <w:rFonts w:ascii="Times New Roman" w:hAnsi="Times New Roman" w:cs="Times New Roman"/>
          <w:sz w:val="24"/>
          <w:szCs w:val="24"/>
        </w:rPr>
        <w:t>would make compliance significantly more onerous as the volume of ind</w:t>
      </w:r>
      <w:r w:rsidR="008224C8">
        <w:rPr>
          <w:rFonts w:ascii="Times New Roman" w:hAnsi="Times New Roman" w:cs="Times New Roman"/>
          <w:sz w:val="24"/>
          <w:szCs w:val="24"/>
        </w:rPr>
        <w:t>i</w:t>
      </w:r>
      <w:r>
        <w:rPr>
          <w:rFonts w:ascii="Times New Roman" w:hAnsi="Times New Roman" w:cs="Times New Roman"/>
          <w:sz w:val="24"/>
          <w:szCs w:val="24"/>
        </w:rPr>
        <w:t>v</w:t>
      </w:r>
      <w:r w:rsidR="008224C8">
        <w:rPr>
          <w:rFonts w:ascii="Times New Roman" w:hAnsi="Times New Roman" w:cs="Times New Roman"/>
          <w:sz w:val="24"/>
          <w:szCs w:val="24"/>
        </w:rPr>
        <w:t>idual</w:t>
      </w:r>
      <w:r>
        <w:rPr>
          <w:rFonts w:ascii="Times New Roman" w:hAnsi="Times New Roman" w:cs="Times New Roman"/>
          <w:sz w:val="24"/>
          <w:szCs w:val="24"/>
        </w:rPr>
        <w:t xml:space="preserve"> rights request</w:t>
      </w:r>
      <w:r w:rsidR="00E73434">
        <w:rPr>
          <w:rFonts w:ascii="Times New Roman" w:hAnsi="Times New Roman" w:cs="Times New Roman"/>
          <w:sz w:val="24"/>
          <w:szCs w:val="24"/>
        </w:rPr>
        <w:t xml:space="preserve">s </w:t>
      </w:r>
      <w:r>
        <w:rPr>
          <w:rFonts w:ascii="Times New Roman" w:hAnsi="Times New Roman" w:cs="Times New Roman"/>
          <w:sz w:val="24"/>
          <w:szCs w:val="24"/>
        </w:rPr>
        <w:t>will increase and may also lead to a corresponding increase in fraudulent or spamming</w:t>
      </w:r>
      <w:r w:rsidR="003960BE">
        <w:rPr>
          <w:rFonts w:ascii="Times New Roman" w:hAnsi="Times New Roman" w:cs="Times New Roman"/>
          <w:sz w:val="24"/>
          <w:szCs w:val="24"/>
        </w:rPr>
        <w:t>-</w:t>
      </w:r>
      <w:r>
        <w:rPr>
          <w:rFonts w:ascii="Times New Roman" w:hAnsi="Times New Roman" w:cs="Times New Roman"/>
          <w:sz w:val="24"/>
          <w:szCs w:val="24"/>
        </w:rPr>
        <w:t>like activities that business</w:t>
      </w:r>
      <w:r w:rsidR="00D4403F">
        <w:rPr>
          <w:rFonts w:ascii="Times New Roman" w:hAnsi="Times New Roman" w:cs="Times New Roman"/>
          <w:sz w:val="24"/>
          <w:szCs w:val="24"/>
        </w:rPr>
        <w:t>es</w:t>
      </w:r>
      <w:r>
        <w:rPr>
          <w:rFonts w:ascii="Times New Roman" w:hAnsi="Times New Roman" w:cs="Times New Roman"/>
          <w:sz w:val="24"/>
          <w:szCs w:val="24"/>
        </w:rPr>
        <w:t xml:space="preserve"> have already experienced under CCPA from groups that send thousands of requests claiming to be authorized by individuals</w:t>
      </w:r>
      <w:r w:rsidR="008224C8">
        <w:rPr>
          <w:rFonts w:ascii="Times New Roman" w:hAnsi="Times New Roman" w:cs="Times New Roman"/>
          <w:sz w:val="24"/>
          <w:szCs w:val="24"/>
        </w:rPr>
        <w:t xml:space="preserve"> without providing any proof of authorization</w:t>
      </w:r>
      <w:r>
        <w:rPr>
          <w:rFonts w:ascii="Times New Roman" w:hAnsi="Times New Roman" w:cs="Times New Roman"/>
          <w:sz w:val="24"/>
          <w:szCs w:val="24"/>
        </w:rPr>
        <w:t xml:space="preserve">.  </w:t>
      </w:r>
      <w:r w:rsidR="003960BE">
        <w:rPr>
          <w:rFonts w:ascii="Times New Roman" w:hAnsi="Times New Roman" w:cs="Times New Roman"/>
          <w:sz w:val="24"/>
          <w:szCs w:val="24"/>
        </w:rPr>
        <w:t>Scores</w:t>
      </w:r>
      <w:r>
        <w:rPr>
          <w:rFonts w:ascii="Times New Roman" w:hAnsi="Times New Roman" w:cs="Times New Roman"/>
          <w:sz w:val="24"/>
          <w:szCs w:val="24"/>
        </w:rPr>
        <w:t xml:space="preserve"> of </w:t>
      </w:r>
      <w:r w:rsidR="00D14951">
        <w:rPr>
          <w:rFonts w:ascii="Times New Roman" w:hAnsi="Times New Roman" w:cs="Times New Roman"/>
          <w:sz w:val="24"/>
          <w:szCs w:val="24"/>
        </w:rPr>
        <w:t xml:space="preserve">covered </w:t>
      </w:r>
      <w:r>
        <w:rPr>
          <w:rFonts w:ascii="Times New Roman" w:hAnsi="Times New Roman" w:cs="Times New Roman"/>
          <w:sz w:val="24"/>
          <w:szCs w:val="24"/>
        </w:rPr>
        <w:t xml:space="preserve">businesses have received and continue to be subject to the onslaught of these requests. </w:t>
      </w:r>
      <w:r w:rsidR="00C07000">
        <w:rPr>
          <w:rFonts w:ascii="Times New Roman" w:hAnsi="Times New Roman" w:cs="Times New Roman"/>
          <w:sz w:val="24"/>
          <w:szCs w:val="24"/>
        </w:rPr>
        <w:t>Some of these requests are not legitimate</w:t>
      </w:r>
      <w:r w:rsidR="00095EB0">
        <w:rPr>
          <w:rFonts w:ascii="Times New Roman" w:hAnsi="Times New Roman" w:cs="Times New Roman"/>
          <w:sz w:val="24"/>
          <w:szCs w:val="24"/>
        </w:rPr>
        <w:t xml:space="preserve"> requests</w:t>
      </w:r>
      <w:r w:rsidR="00C07000">
        <w:rPr>
          <w:rFonts w:ascii="Times New Roman" w:hAnsi="Times New Roman" w:cs="Times New Roman"/>
          <w:sz w:val="24"/>
          <w:szCs w:val="24"/>
        </w:rPr>
        <w:t xml:space="preserve"> from individuals but from spam-like organization</w:t>
      </w:r>
      <w:r w:rsidR="00D14951">
        <w:rPr>
          <w:rFonts w:ascii="Times New Roman" w:hAnsi="Times New Roman" w:cs="Times New Roman"/>
          <w:sz w:val="24"/>
          <w:szCs w:val="24"/>
        </w:rPr>
        <w:t>s</w:t>
      </w:r>
      <w:r w:rsidR="00D4403F">
        <w:rPr>
          <w:rFonts w:ascii="Times New Roman" w:hAnsi="Times New Roman" w:cs="Times New Roman"/>
          <w:sz w:val="24"/>
          <w:szCs w:val="24"/>
        </w:rPr>
        <w:t xml:space="preserve"> </w:t>
      </w:r>
      <w:r w:rsidR="00C07000">
        <w:rPr>
          <w:rFonts w:ascii="Times New Roman" w:hAnsi="Times New Roman" w:cs="Times New Roman"/>
          <w:sz w:val="24"/>
          <w:szCs w:val="24"/>
        </w:rPr>
        <w:t xml:space="preserve">and </w:t>
      </w:r>
      <w:r w:rsidR="00C11B4D">
        <w:rPr>
          <w:rFonts w:ascii="Times New Roman" w:hAnsi="Times New Roman" w:cs="Times New Roman"/>
          <w:sz w:val="24"/>
          <w:szCs w:val="24"/>
        </w:rPr>
        <w:t xml:space="preserve">others not acting in good faith. </w:t>
      </w:r>
      <w:r>
        <w:rPr>
          <w:rFonts w:ascii="Times New Roman" w:hAnsi="Times New Roman" w:cs="Times New Roman"/>
          <w:sz w:val="24"/>
          <w:szCs w:val="24"/>
        </w:rPr>
        <w:t>The ATP urges the Agency</w:t>
      </w:r>
      <w:r w:rsidR="008224C8">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8224C8">
        <w:rPr>
          <w:rFonts w:ascii="Times New Roman" w:hAnsi="Times New Roman" w:cs="Times New Roman"/>
          <w:sz w:val="24"/>
          <w:szCs w:val="24"/>
        </w:rPr>
        <w:t xml:space="preserve">to </w:t>
      </w:r>
      <w:r>
        <w:rPr>
          <w:rFonts w:ascii="Times New Roman" w:hAnsi="Times New Roman" w:cs="Times New Roman"/>
          <w:sz w:val="24"/>
          <w:szCs w:val="24"/>
        </w:rPr>
        <w:t>revise th</w:t>
      </w:r>
      <w:r w:rsidR="006F69BD">
        <w:rPr>
          <w:rFonts w:ascii="Times New Roman" w:hAnsi="Times New Roman" w:cs="Times New Roman"/>
          <w:sz w:val="24"/>
          <w:szCs w:val="24"/>
        </w:rPr>
        <w:t>e current</w:t>
      </w:r>
      <w:r>
        <w:rPr>
          <w:rFonts w:ascii="Times New Roman" w:hAnsi="Times New Roman" w:cs="Times New Roman"/>
          <w:sz w:val="24"/>
          <w:szCs w:val="24"/>
        </w:rPr>
        <w:t xml:space="preserve"> definition</w:t>
      </w:r>
      <w:r w:rsidR="008224C8">
        <w:rPr>
          <w:rFonts w:ascii="Times New Roman" w:hAnsi="Times New Roman" w:cs="Times New Roman"/>
          <w:sz w:val="24"/>
          <w:szCs w:val="24"/>
        </w:rPr>
        <w:t xml:space="preserve"> </w:t>
      </w:r>
      <w:r w:rsidR="002273B8">
        <w:rPr>
          <w:rFonts w:ascii="Times New Roman" w:hAnsi="Times New Roman" w:cs="Times New Roman"/>
          <w:sz w:val="24"/>
          <w:szCs w:val="24"/>
        </w:rPr>
        <w:t>but rather</w:t>
      </w:r>
      <w:r w:rsidR="008224C8">
        <w:rPr>
          <w:rFonts w:ascii="Times New Roman" w:hAnsi="Times New Roman" w:cs="Times New Roman"/>
          <w:sz w:val="24"/>
          <w:szCs w:val="24"/>
        </w:rPr>
        <w:t xml:space="preserve"> to </w:t>
      </w:r>
      <w:r w:rsidR="006F257F">
        <w:rPr>
          <w:rFonts w:ascii="Times New Roman" w:hAnsi="Times New Roman" w:cs="Times New Roman"/>
          <w:sz w:val="24"/>
          <w:szCs w:val="24"/>
        </w:rPr>
        <w:t>expand the regulation</w:t>
      </w:r>
      <w:r w:rsidR="002273B8">
        <w:rPr>
          <w:rFonts w:ascii="Times New Roman" w:hAnsi="Times New Roman" w:cs="Times New Roman"/>
          <w:sz w:val="24"/>
          <w:szCs w:val="24"/>
        </w:rPr>
        <w:t>s</w:t>
      </w:r>
      <w:r w:rsidR="006F257F">
        <w:rPr>
          <w:rFonts w:ascii="Times New Roman" w:hAnsi="Times New Roman" w:cs="Times New Roman"/>
          <w:sz w:val="24"/>
          <w:szCs w:val="24"/>
        </w:rPr>
        <w:t xml:space="preserve"> to impose </w:t>
      </w:r>
      <w:r w:rsidR="008224C8">
        <w:rPr>
          <w:rFonts w:ascii="Times New Roman" w:hAnsi="Times New Roman" w:cs="Times New Roman"/>
          <w:sz w:val="24"/>
          <w:szCs w:val="24"/>
        </w:rPr>
        <w:t xml:space="preserve">more obligations for these “authorized agents” to provide </w:t>
      </w:r>
      <w:r w:rsidR="00682B74">
        <w:rPr>
          <w:rFonts w:ascii="Times New Roman" w:hAnsi="Times New Roman" w:cs="Times New Roman"/>
          <w:sz w:val="24"/>
          <w:szCs w:val="24"/>
        </w:rPr>
        <w:t xml:space="preserve">proof </w:t>
      </w:r>
      <w:r w:rsidR="008224C8">
        <w:rPr>
          <w:rFonts w:ascii="Times New Roman" w:hAnsi="Times New Roman" w:cs="Times New Roman"/>
          <w:sz w:val="24"/>
          <w:szCs w:val="24"/>
        </w:rPr>
        <w:t xml:space="preserve">that they are in fact </w:t>
      </w:r>
      <w:r w:rsidR="0045718B">
        <w:rPr>
          <w:rFonts w:ascii="Times New Roman" w:hAnsi="Times New Roman" w:cs="Times New Roman"/>
          <w:sz w:val="24"/>
          <w:szCs w:val="24"/>
        </w:rPr>
        <w:t>authorized and</w:t>
      </w:r>
      <w:r w:rsidR="008224C8">
        <w:rPr>
          <w:rFonts w:ascii="Times New Roman" w:hAnsi="Times New Roman" w:cs="Times New Roman"/>
          <w:sz w:val="24"/>
          <w:szCs w:val="24"/>
        </w:rPr>
        <w:t xml:space="preserve"> are acting legitimately on behalf of individuals. </w:t>
      </w:r>
      <w:r>
        <w:rPr>
          <w:rFonts w:ascii="Times New Roman" w:hAnsi="Times New Roman" w:cs="Times New Roman"/>
          <w:sz w:val="24"/>
          <w:szCs w:val="24"/>
        </w:rPr>
        <w:t xml:space="preserve"> </w:t>
      </w:r>
      <w:r w:rsidR="00682B74">
        <w:rPr>
          <w:rFonts w:ascii="Times New Roman" w:hAnsi="Times New Roman" w:cs="Times New Roman"/>
          <w:sz w:val="24"/>
          <w:szCs w:val="24"/>
        </w:rPr>
        <w:t>Many testing organizations have been inundated with these illegitimate requests that require significant time and resources to attempt to verify, investigate</w:t>
      </w:r>
      <w:r w:rsidR="00C92B4C">
        <w:rPr>
          <w:rFonts w:ascii="Times New Roman" w:hAnsi="Times New Roman" w:cs="Times New Roman"/>
          <w:sz w:val="24"/>
          <w:szCs w:val="24"/>
        </w:rPr>
        <w:t>,</w:t>
      </w:r>
      <w:r w:rsidR="00682B74">
        <w:rPr>
          <w:rFonts w:ascii="Times New Roman" w:hAnsi="Times New Roman" w:cs="Times New Roman"/>
          <w:sz w:val="24"/>
          <w:szCs w:val="24"/>
        </w:rPr>
        <w:t xml:space="preserve"> and resolve.  </w:t>
      </w:r>
      <w:r w:rsidR="002C2C4F">
        <w:rPr>
          <w:rFonts w:ascii="Times New Roman" w:hAnsi="Times New Roman" w:cs="Times New Roman"/>
          <w:sz w:val="24"/>
          <w:szCs w:val="24"/>
        </w:rPr>
        <w:t>P</w:t>
      </w:r>
      <w:r w:rsidR="00DC2469">
        <w:rPr>
          <w:rFonts w:ascii="Times New Roman" w:hAnsi="Times New Roman" w:cs="Times New Roman"/>
          <w:sz w:val="24"/>
          <w:szCs w:val="24"/>
        </w:rPr>
        <w:t xml:space="preserve">roposing to </w:t>
      </w:r>
      <w:r w:rsidR="00682B74">
        <w:rPr>
          <w:rFonts w:ascii="Times New Roman" w:hAnsi="Times New Roman" w:cs="Times New Roman"/>
          <w:sz w:val="24"/>
          <w:szCs w:val="24"/>
        </w:rPr>
        <w:t>remov</w:t>
      </w:r>
      <w:r w:rsidR="00DC2469">
        <w:rPr>
          <w:rFonts w:ascii="Times New Roman" w:hAnsi="Times New Roman" w:cs="Times New Roman"/>
          <w:sz w:val="24"/>
          <w:szCs w:val="24"/>
        </w:rPr>
        <w:t>e</w:t>
      </w:r>
      <w:r w:rsidR="00682B74">
        <w:rPr>
          <w:rFonts w:ascii="Times New Roman" w:hAnsi="Times New Roman" w:cs="Times New Roman"/>
          <w:sz w:val="24"/>
          <w:szCs w:val="24"/>
        </w:rPr>
        <w:t xml:space="preserve"> the requirement that these “agents” are registered with the Secretary of State will result in businesses being flooded with illegitimate, unwarranted requests. </w:t>
      </w:r>
    </w:p>
    <w:p w14:paraId="51AE7341" w14:textId="3432FDA8" w:rsidR="00E87F29" w:rsidRPr="00E87F29" w:rsidRDefault="00B57784" w:rsidP="00E87F29">
      <w:pPr>
        <w:pStyle w:val="ListParagraph"/>
        <w:numPr>
          <w:ilvl w:val="0"/>
          <w:numId w:val="11"/>
        </w:numPr>
        <w:rPr>
          <w:rFonts w:ascii="Times New Roman" w:hAnsi="Times New Roman" w:cs="Times New Roman"/>
          <w:sz w:val="24"/>
          <w:szCs w:val="24"/>
        </w:rPr>
      </w:pPr>
      <w:r w:rsidRPr="00E87F29">
        <w:rPr>
          <w:rFonts w:ascii="Times New Roman" w:hAnsi="Times New Roman" w:cs="Times New Roman"/>
          <w:b/>
          <w:bCs/>
          <w:sz w:val="24"/>
          <w:szCs w:val="24"/>
        </w:rPr>
        <w:t>Disproportionate Effort</w:t>
      </w:r>
      <w:r w:rsidRPr="00E87F29">
        <w:rPr>
          <w:rFonts w:ascii="Times New Roman" w:hAnsi="Times New Roman" w:cs="Times New Roman"/>
          <w:sz w:val="24"/>
          <w:szCs w:val="24"/>
        </w:rPr>
        <w:t xml:space="preserve">:  </w:t>
      </w:r>
    </w:p>
    <w:p w14:paraId="26B139B5" w14:textId="496F8292" w:rsidR="006D0F69" w:rsidRPr="00375AA8" w:rsidRDefault="00B57784" w:rsidP="00375AA8">
      <w:pPr>
        <w:ind w:firstLine="450"/>
        <w:rPr>
          <w:rFonts w:ascii="Times New Roman" w:hAnsi="Times New Roman" w:cs="Times New Roman"/>
          <w:sz w:val="24"/>
          <w:szCs w:val="24"/>
        </w:rPr>
      </w:pPr>
      <w:r>
        <w:rPr>
          <w:rFonts w:ascii="Times New Roman" w:hAnsi="Times New Roman" w:cs="Times New Roman"/>
          <w:sz w:val="24"/>
          <w:szCs w:val="24"/>
        </w:rPr>
        <w:t xml:space="preserve">The Agency </w:t>
      </w:r>
      <w:r w:rsidR="00C96BBE">
        <w:rPr>
          <w:rFonts w:ascii="Times New Roman" w:hAnsi="Times New Roman" w:cs="Times New Roman"/>
          <w:sz w:val="24"/>
          <w:szCs w:val="24"/>
        </w:rPr>
        <w:t>proposes to add</w:t>
      </w:r>
      <w:r>
        <w:rPr>
          <w:rFonts w:ascii="Times New Roman" w:hAnsi="Times New Roman" w:cs="Times New Roman"/>
          <w:sz w:val="24"/>
          <w:szCs w:val="24"/>
        </w:rPr>
        <w:t xml:space="preserve"> a definition of “disproportionate effort” </w:t>
      </w:r>
      <w:r w:rsidR="00A73F11">
        <w:rPr>
          <w:rFonts w:ascii="Times New Roman" w:hAnsi="Times New Roman" w:cs="Times New Roman"/>
          <w:sz w:val="24"/>
          <w:szCs w:val="24"/>
        </w:rPr>
        <w:t>“</w:t>
      </w:r>
      <w:r w:rsidR="00A73F11" w:rsidRPr="00A73F11">
        <w:rPr>
          <w:rFonts w:ascii="Times New Roman" w:hAnsi="Times New Roman" w:cs="Times New Roman"/>
          <w:sz w:val="24"/>
          <w:szCs w:val="24"/>
        </w:rPr>
        <w:t>within the context of a business responding to a consumer request</w:t>
      </w:r>
      <w:r w:rsidR="00275A42">
        <w:rPr>
          <w:rFonts w:ascii="Times New Roman" w:hAnsi="Times New Roman" w:cs="Times New Roman"/>
          <w:sz w:val="24"/>
          <w:szCs w:val="24"/>
        </w:rPr>
        <w:t>, specifically</w:t>
      </w:r>
      <w:r w:rsidR="00CF0283">
        <w:rPr>
          <w:rFonts w:ascii="Times New Roman" w:hAnsi="Times New Roman" w:cs="Times New Roman"/>
          <w:sz w:val="24"/>
          <w:szCs w:val="24"/>
        </w:rPr>
        <w:t xml:space="preserve"> </w:t>
      </w:r>
      <w:r w:rsidR="001B3643">
        <w:rPr>
          <w:rFonts w:ascii="Times New Roman" w:hAnsi="Times New Roman" w:cs="Times New Roman"/>
          <w:sz w:val="24"/>
          <w:szCs w:val="24"/>
        </w:rPr>
        <w:t xml:space="preserve">stating </w:t>
      </w:r>
      <w:r w:rsidR="00CF0283">
        <w:rPr>
          <w:rFonts w:ascii="Times New Roman" w:hAnsi="Times New Roman" w:cs="Times New Roman"/>
          <w:sz w:val="24"/>
          <w:szCs w:val="24"/>
        </w:rPr>
        <w:t>the term</w:t>
      </w:r>
      <w:r w:rsidR="00275A42">
        <w:rPr>
          <w:rFonts w:ascii="Times New Roman" w:hAnsi="Times New Roman" w:cs="Times New Roman"/>
          <w:sz w:val="24"/>
          <w:szCs w:val="24"/>
        </w:rPr>
        <w:t xml:space="preserve">: </w:t>
      </w:r>
      <w:r w:rsidR="00166F9A">
        <w:rPr>
          <w:rFonts w:ascii="Times New Roman" w:hAnsi="Times New Roman" w:cs="Times New Roman"/>
          <w:sz w:val="24"/>
          <w:szCs w:val="24"/>
        </w:rPr>
        <w:t>“</w:t>
      </w:r>
      <w:r w:rsidR="00A73F11" w:rsidRPr="005827CE">
        <w:rPr>
          <w:rFonts w:ascii="Times New Roman" w:hAnsi="Times New Roman" w:cs="Times New Roman"/>
          <w:i/>
          <w:iCs/>
          <w:sz w:val="24"/>
          <w:szCs w:val="24"/>
        </w:rPr>
        <w:t xml:space="preserve">means the time and/or resources expended by the business to respond to the individualized request </w:t>
      </w:r>
      <w:r w:rsidR="00A73F11" w:rsidRPr="00A73F11">
        <w:rPr>
          <w:rFonts w:ascii="Times New Roman" w:hAnsi="Times New Roman" w:cs="Times New Roman"/>
          <w:i/>
          <w:iCs/>
          <w:sz w:val="24"/>
          <w:szCs w:val="24"/>
        </w:rPr>
        <w:t>significantly outweighs the benefit provided to the consumer by responding to the reques</w:t>
      </w:r>
      <w:r w:rsidR="00A73F11" w:rsidRPr="00A73F11">
        <w:rPr>
          <w:rFonts w:ascii="Times New Roman" w:hAnsi="Times New Roman" w:cs="Times New Roman"/>
          <w:sz w:val="24"/>
          <w:szCs w:val="24"/>
        </w:rPr>
        <w:t>t</w:t>
      </w:r>
      <w:r w:rsidR="00166F9A">
        <w:rPr>
          <w:rFonts w:ascii="Times New Roman" w:hAnsi="Times New Roman" w:cs="Times New Roman"/>
          <w:sz w:val="24"/>
          <w:szCs w:val="24"/>
        </w:rPr>
        <w:t>”</w:t>
      </w:r>
      <w:r w:rsidR="0045718B">
        <w:rPr>
          <w:rFonts w:ascii="Times New Roman" w:hAnsi="Times New Roman" w:cs="Times New Roman"/>
          <w:sz w:val="24"/>
          <w:szCs w:val="24"/>
        </w:rPr>
        <w:t xml:space="preserve"> (</w:t>
      </w:r>
      <w:r w:rsidR="00EA48B6">
        <w:rPr>
          <w:rFonts w:ascii="Times New Roman" w:hAnsi="Times New Roman" w:cs="Times New Roman"/>
          <w:i/>
          <w:iCs/>
          <w:sz w:val="24"/>
          <w:szCs w:val="24"/>
        </w:rPr>
        <w:t xml:space="preserve">see </w:t>
      </w:r>
      <w:r w:rsidR="0045718B">
        <w:rPr>
          <w:rFonts w:ascii="Times New Roman" w:hAnsi="Times New Roman" w:cs="Times New Roman"/>
          <w:sz w:val="24"/>
          <w:szCs w:val="24"/>
        </w:rPr>
        <w:t>§</w:t>
      </w:r>
      <w:r w:rsidR="001032ED">
        <w:rPr>
          <w:rFonts w:ascii="Times New Roman" w:hAnsi="Times New Roman" w:cs="Times New Roman"/>
          <w:sz w:val="24"/>
          <w:szCs w:val="24"/>
        </w:rPr>
        <w:t>7063(</w:t>
      </w:r>
      <w:r w:rsidR="00694F99">
        <w:rPr>
          <w:rFonts w:ascii="Times New Roman" w:hAnsi="Times New Roman" w:cs="Times New Roman"/>
          <w:sz w:val="24"/>
          <w:szCs w:val="24"/>
        </w:rPr>
        <w:t>h)).</w:t>
      </w:r>
      <w:r w:rsidR="00A73F11" w:rsidRPr="00A73F11">
        <w:rPr>
          <w:rFonts w:ascii="Times New Roman" w:hAnsi="Times New Roman" w:cs="Times New Roman"/>
          <w:sz w:val="24"/>
          <w:szCs w:val="24"/>
        </w:rPr>
        <w:t xml:space="preserve"> </w:t>
      </w:r>
      <w:r w:rsidR="00A73F11">
        <w:rPr>
          <w:rFonts w:ascii="Times New Roman" w:hAnsi="Times New Roman" w:cs="Times New Roman"/>
          <w:sz w:val="24"/>
          <w:szCs w:val="24"/>
        </w:rPr>
        <w:t xml:space="preserve">The Agency has provided some helpful examples of when a </w:t>
      </w:r>
      <w:r w:rsidR="00D4403F">
        <w:rPr>
          <w:rFonts w:ascii="Times New Roman" w:hAnsi="Times New Roman" w:cs="Times New Roman"/>
          <w:sz w:val="24"/>
          <w:szCs w:val="24"/>
        </w:rPr>
        <w:t xml:space="preserve">covered </w:t>
      </w:r>
      <w:r w:rsidR="00A73F11">
        <w:rPr>
          <w:rFonts w:ascii="Times New Roman" w:hAnsi="Times New Roman" w:cs="Times New Roman"/>
          <w:sz w:val="24"/>
          <w:szCs w:val="24"/>
        </w:rPr>
        <w:t xml:space="preserve">business’s efforts to respond to an individual request would outweigh any harm to the individual to not acting on the request. </w:t>
      </w:r>
      <w:r w:rsidR="00697FB5">
        <w:rPr>
          <w:rFonts w:ascii="Times New Roman" w:hAnsi="Times New Roman" w:cs="Times New Roman"/>
          <w:sz w:val="24"/>
          <w:szCs w:val="24"/>
        </w:rPr>
        <w:t>Nevertheless</w:t>
      </w:r>
      <w:r w:rsidR="00A73F11">
        <w:rPr>
          <w:rFonts w:ascii="Times New Roman" w:hAnsi="Times New Roman" w:cs="Times New Roman"/>
          <w:sz w:val="24"/>
          <w:szCs w:val="24"/>
        </w:rPr>
        <w:t xml:space="preserve">, </w:t>
      </w:r>
      <w:r w:rsidR="00694F99">
        <w:rPr>
          <w:rFonts w:ascii="Times New Roman" w:hAnsi="Times New Roman" w:cs="Times New Roman"/>
          <w:sz w:val="24"/>
          <w:szCs w:val="24"/>
        </w:rPr>
        <w:t>the AT</w:t>
      </w:r>
      <w:r w:rsidR="000315B4">
        <w:rPr>
          <w:rFonts w:ascii="Times New Roman" w:hAnsi="Times New Roman" w:cs="Times New Roman"/>
          <w:sz w:val="24"/>
          <w:szCs w:val="24"/>
        </w:rPr>
        <w:t xml:space="preserve">P </w:t>
      </w:r>
      <w:r w:rsidR="003661C0">
        <w:rPr>
          <w:rFonts w:ascii="Times New Roman" w:hAnsi="Times New Roman" w:cs="Times New Roman"/>
          <w:sz w:val="24"/>
          <w:szCs w:val="24"/>
        </w:rPr>
        <w:t xml:space="preserve">is </w:t>
      </w:r>
      <w:r w:rsidR="000315B4">
        <w:rPr>
          <w:rFonts w:ascii="Times New Roman" w:hAnsi="Times New Roman" w:cs="Times New Roman"/>
          <w:sz w:val="24"/>
          <w:szCs w:val="24"/>
        </w:rPr>
        <w:t>concern</w:t>
      </w:r>
      <w:r w:rsidR="003661C0">
        <w:rPr>
          <w:rFonts w:ascii="Times New Roman" w:hAnsi="Times New Roman" w:cs="Times New Roman"/>
          <w:sz w:val="24"/>
          <w:szCs w:val="24"/>
        </w:rPr>
        <w:t>ed</w:t>
      </w:r>
      <w:r w:rsidR="000315B4">
        <w:rPr>
          <w:rFonts w:ascii="Times New Roman" w:hAnsi="Times New Roman" w:cs="Times New Roman"/>
          <w:sz w:val="24"/>
          <w:szCs w:val="24"/>
        </w:rPr>
        <w:t xml:space="preserve"> this revised definition </w:t>
      </w:r>
      <w:r w:rsidR="003661C0">
        <w:rPr>
          <w:rFonts w:ascii="Times New Roman" w:hAnsi="Times New Roman" w:cs="Times New Roman"/>
          <w:sz w:val="24"/>
          <w:szCs w:val="24"/>
        </w:rPr>
        <w:t>places</w:t>
      </w:r>
      <w:r w:rsidR="000315B4">
        <w:rPr>
          <w:rFonts w:ascii="Times New Roman" w:hAnsi="Times New Roman" w:cs="Times New Roman"/>
          <w:sz w:val="24"/>
          <w:szCs w:val="24"/>
        </w:rPr>
        <w:t xml:space="preserve"> onerous responsibilities on businesses to demonstrate and document this balancing test.  </w:t>
      </w:r>
      <w:r w:rsidR="00D4403F">
        <w:rPr>
          <w:rFonts w:ascii="Times New Roman" w:hAnsi="Times New Roman" w:cs="Times New Roman"/>
          <w:sz w:val="24"/>
          <w:szCs w:val="24"/>
        </w:rPr>
        <w:t>M</w:t>
      </w:r>
      <w:r w:rsidR="000315B4">
        <w:rPr>
          <w:rFonts w:ascii="Times New Roman" w:hAnsi="Times New Roman" w:cs="Times New Roman"/>
          <w:sz w:val="24"/>
          <w:szCs w:val="24"/>
        </w:rPr>
        <w:t xml:space="preserve">any testing </w:t>
      </w:r>
      <w:r w:rsidR="0027195B">
        <w:rPr>
          <w:rFonts w:ascii="Times New Roman" w:hAnsi="Times New Roman" w:cs="Times New Roman"/>
          <w:sz w:val="24"/>
          <w:szCs w:val="24"/>
        </w:rPr>
        <w:t>organizations</w:t>
      </w:r>
      <w:r w:rsidR="000315B4">
        <w:rPr>
          <w:rFonts w:ascii="Times New Roman" w:hAnsi="Times New Roman" w:cs="Times New Roman"/>
          <w:sz w:val="24"/>
          <w:szCs w:val="24"/>
        </w:rPr>
        <w:t xml:space="preserve"> </w:t>
      </w:r>
      <w:r w:rsidR="00435371">
        <w:rPr>
          <w:rFonts w:ascii="Times New Roman" w:hAnsi="Times New Roman" w:cs="Times New Roman"/>
          <w:sz w:val="24"/>
          <w:szCs w:val="24"/>
        </w:rPr>
        <w:t xml:space="preserve">also </w:t>
      </w:r>
      <w:r w:rsidR="000315B4">
        <w:rPr>
          <w:rFonts w:ascii="Times New Roman" w:hAnsi="Times New Roman" w:cs="Times New Roman"/>
          <w:sz w:val="24"/>
          <w:szCs w:val="24"/>
        </w:rPr>
        <w:t>deidentif</w:t>
      </w:r>
      <w:r w:rsidR="0027195B">
        <w:rPr>
          <w:rFonts w:ascii="Times New Roman" w:hAnsi="Times New Roman" w:cs="Times New Roman"/>
          <w:sz w:val="24"/>
          <w:szCs w:val="24"/>
        </w:rPr>
        <w:t>y</w:t>
      </w:r>
      <w:r w:rsidR="000315B4">
        <w:rPr>
          <w:rFonts w:ascii="Times New Roman" w:hAnsi="Times New Roman" w:cs="Times New Roman"/>
          <w:sz w:val="24"/>
          <w:szCs w:val="24"/>
        </w:rPr>
        <w:t xml:space="preserve"> the </w:t>
      </w:r>
      <w:r w:rsidR="005C3114">
        <w:rPr>
          <w:rFonts w:ascii="Times New Roman" w:hAnsi="Times New Roman" w:cs="Times New Roman"/>
          <w:sz w:val="24"/>
          <w:szCs w:val="24"/>
        </w:rPr>
        <w:t xml:space="preserve">test takers’ </w:t>
      </w:r>
      <w:r w:rsidR="000315B4">
        <w:rPr>
          <w:rFonts w:ascii="Times New Roman" w:hAnsi="Times New Roman" w:cs="Times New Roman"/>
          <w:sz w:val="24"/>
          <w:szCs w:val="24"/>
        </w:rPr>
        <w:t>information</w:t>
      </w:r>
      <w:r w:rsidR="00D4403F">
        <w:rPr>
          <w:rFonts w:ascii="Times New Roman" w:hAnsi="Times New Roman" w:cs="Times New Roman"/>
          <w:sz w:val="24"/>
          <w:szCs w:val="24"/>
        </w:rPr>
        <w:t xml:space="preserve"> after initial use</w:t>
      </w:r>
      <w:r w:rsidR="003D7E95">
        <w:rPr>
          <w:rFonts w:ascii="Times New Roman" w:hAnsi="Times New Roman" w:cs="Times New Roman"/>
          <w:sz w:val="24"/>
          <w:szCs w:val="24"/>
        </w:rPr>
        <w:t>,</w:t>
      </w:r>
      <w:r w:rsidR="00EB45E2">
        <w:rPr>
          <w:rFonts w:ascii="Times New Roman" w:hAnsi="Times New Roman" w:cs="Times New Roman"/>
          <w:sz w:val="24"/>
          <w:szCs w:val="24"/>
        </w:rPr>
        <w:t xml:space="preserve"> so an individual cannot be identified</w:t>
      </w:r>
      <w:r w:rsidR="00850B4F">
        <w:rPr>
          <w:rFonts w:ascii="Times New Roman" w:hAnsi="Times New Roman" w:cs="Times New Roman"/>
          <w:sz w:val="24"/>
          <w:szCs w:val="24"/>
        </w:rPr>
        <w:t xml:space="preserve"> – and thus it is no longer personal information</w:t>
      </w:r>
      <w:r w:rsidR="002C157A">
        <w:rPr>
          <w:rFonts w:ascii="Times New Roman" w:hAnsi="Times New Roman" w:cs="Times New Roman"/>
          <w:sz w:val="24"/>
          <w:szCs w:val="24"/>
        </w:rPr>
        <w:t xml:space="preserve"> </w:t>
      </w:r>
      <w:r w:rsidR="0027067C">
        <w:rPr>
          <w:rFonts w:ascii="Times New Roman" w:hAnsi="Times New Roman" w:cs="Times New Roman"/>
          <w:sz w:val="24"/>
          <w:szCs w:val="24"/>
        </w:rPr>
        <w:t>(</w:t>
      </w:r>
      <w:r w:rsidR="0027067C" w:rsidRPr="00981158">
        <w:rPr>
          <w:rFonts w:ascii="Times New Roman" w:hAnsi="Times New Roman" w:cs="Times New Roman"/>
          <w:i/>
          <w:iCs/>
          <w:sz w:val="24"/>
          <w:szCs w:val="24"/>
        </w:rPr>
        <w:t>see infra</w:t>
      </w:r>
      <w:r w:rsidR="000B3471">
        <w:rPr>
          <w:rFonts w:ascii="Times New Roman" w:hAnsi="Times New Roman" w:cs="Times New Roman"/>
          <w:i/>
          <w:iCs/>
          <w:sz w:val="24"/>
          <w:szCs w:val="24"/>
        </w:rPr>
        <w:t>.</w:t>
      </w:r>
      <w:r w:rsidR="0027067C">
        <w:rPr>
          <w:rFonts w:ascii="Times New Roman" w:hAnsi="Times New Roman" w:cs="Times New Roman"/>
          <w:sz w:val="24"/>
          <w:szCs w:val="24"/>
        </w:rPr>
        <w:t xml:space="preserve"> </w:t>
      </w:r>
      <w:r w:rsidR="000B3471">
        <w:rPr>
          <w:rFonts w:ascii="Times New Roman" w:hAnsi="Times New Roman" w:cs="Times New Roman"/>
          <w:sz w:val="24"/>
          <w:szCs w:val="24"/>
        </w:rPr>
        <w:t xml:space="preserve">at </w:t>
      </w:r>
      <w:r w:rsidR="0027067C">
        <w:rPr>
          <w:rFonts w:ascii="Times New Roman" w:hAnsi="Times New Roman" w:cs="Times New Roman"/>
          <w:sz w:val="24"/>
          <w:szCs w:val="24"/>
        </w:rPr>
        <w:t>fn</w:t>
      </w:r>
      <w:r w:rsidR="003D1EB1">
        <w:rPr>
          <w:rFonts w:ascii="Times New Roman" w:hAnsi="Times New Roman" w:cs="Times New Roman"/>
          <w:sz w:val="24"/>
          <w:szCs w:val="24"/>
        </w:rPr>
        <w:t>.</w:t>
      </w:r>
      <w:r w:rsidR="0027067C">
        <w:rPr>
          <w:rFonts w:ascii="Times New Roman" w:hAnsi="Times New Roman" w:cs="Times New Roman"/>
          <w:sz w:val="24"/>
          <w:szCs w:val="24"/>
        </w:rPr>
        <w:t xml:space="preserve"> 14)</w:t>
      </w:r>
      <w:r w:rsidR="000315B4">
        <w:rPr>
          <w:rFonts w:ascii="Times New Roman" w:hAnsi="Times New Roman" w:cs="Times New Roman"/>
          <w:sz w:val="24"/>
          <w:szCs w:val="24"/>
        </w:rPr>
        <w:t xml:space="preserve">. </w:t>
      </w:r>
      <w:r w:rsidR="00E74E84">
        <w:rPr>
          <w:rFonts w:ascii="Times New Roman" w:hAnsi="Times New Roman" w:cs="Times New Roman"/>
          <w:sz w:val="24"/>
          <w:szCs w:val="24"/>
        </w:rPr>
        <w:t xml:space="preserve">They do this </w:t>
      </w:r>
      <w:r w:rsidR="000B3471">
        <w:rPr>
          <w:rFonts w:ascii="Times New Roman" w:hAnsi="Times New Roman" w:cs="Times New Roman"/>
          <w:sz w:val="24"/>
          <w:szCs w:val="24"/>
        </w:rPr>
        <w:t xml:space="preserve">because they do not use personal information for test-related research and </w:t>
      </w:r>
      <w:r w:rsidR="00E74E84">
        <w:rPr>
          <w:rFonts w:ascii="Times New Roman" w:hAnsi="Times New Roman" w:cs="Times New Roman"/>
          <w:sz w:val="24"/>
          <w:szCs w:val="24"/>
        </w:rPr>
        <w:t xml:space="preserve">to follow privacy by design principles including data minimization and purpose limitations. </w:t>
      </w:r>
      <w:r w:rsidR="000315B4">
        <w:rPr>
          <w:rFonts w:ascii="Times New Roman" w:hAnsi="Times New Roman" w:cs="Times New Roman"/>
          <w:sz w:val="24"/>
          <w:szCs w:val="24"/>
        </w:rPr>
        <w:t xml:space="preserve">When this is the situation, this new requirement unnecessarily burdens these businesses to conduct </w:t>
      </w:r>
      <w:r w:rsidR="00251CF6">
        <w:rPr>
          <w:rFonts w:ascii="Times New Roman" w:hAnsi="Times New Roman" w:cs="Times New Roman"/>
          <w:sz w:val="24"/>
          <w:szCs w:val="24"/>
        </w:rPr>
        <w:t>such a</w:t>
      </w:r>
      <w:r w:rsidR="000315B4">
        <w:rPr>
          <w:rFonts w:ascii="Times New Roman" w:hAnsi="Times New Roman" w:cs="Times New Roman"/>
          <w:sz w:val="24"/>
          <w:szCs w:val="24"/>
        </w:rPr>
        <w:t xml:space="preserve"> balancing test, when</w:t>
      </w:r>
      <w:r w:rsidR="00A07904">
        <w:rPr>
          <w:rFonts w:ascii="Times New Roman" w:hAnsi="Times New Roman" w:cs="Times New Roman"/>
          <w:sz w:val="24"/>
          <w:szCs w:val="24"/>
        </w:rPr>
        <w:t xml:space="preserve"> the situation is simply that they d</w:t>
      </w:r>
      <w:r w:rsidR="00850B4F">
        <w:rPr>
          <w:rFonts w:ascii="Times New Roman" w:hAnsi="Times New Roman" w:cs="Times New Roman"/>
          <w:sz w:val="24"/>
          <w:szCs w:val="24"/>
        </w:rPr>
        <w:t>o not</w:t>
      </w:r>
      <w:r w:rsidR="00A07904">
        <w:rPr>
          <w:rFonts w:ascii="Times New Roman" w:hAnsi="Times New Roman" w:cs="Times New Roman"/>
          <w:sz w:val="24"/>
          <w:szCs w:val="24"/>
        </w:rPr>
        <w:t xml:space="preserve"> </w:t>
      </w:r>
      <w:r w:rsidR="005C3114">
        <w:rPr>
          <w:rFonts w:ascii="Times New Roman" w:hAnsi="Times New Roman" w:cs="Times New Roman"/>
          <w:sz w:val="24"/>
          <w:szCs w:val="24"/>
        </w:rPr>
        <w:t xml:space="preserve">any longer </w:t>
      </w:r>
      <w:r w:rsidR="00A07904">
        <w:rPr>
          <w:rFonts w:ascii="Times New Roman" w:hAnsi="Times New Roman" w:cs="Times New Roman"/>
          <w:sz w:val="24"/>
          <w:szCs w:val="24"/>
        </w:rPr>
        <w:t>have the</w:t>
      </w:r>
      <w:r w:rsidR="00275A42">
        <w:rPr>
          <w:rFonts w:ascii="Times New Roman" w:hAnsi="Times New Roman" w:cs="Times New Roman"/>
          <w:sz w:val="24"/>
          <w:szCs w:val="24"/>
        </w:rPr>
        <w:t xml:space="preserve"> consumer’s</w:t>
      </w:r>
      <w:r w:rsidR="00A07904">
        <w:rPr>
          <w:rFonts w:ascii="Times New Roman" w:hAnsi="Times New Roman" w:cs="Times New Roman"/>
          <w:sz w:val="24"/>
          <w:szCs w:val="24"/>
        </w:rPr>
        <w:t xml:space="preserve"> personal information and should be able to respond as such. </w:t>
      </w:r>
      <w:r w:rsidR="00E73434">
        <w:rPr>
          <w:rFonts w:ascii="Times New Roman" w:hAnsi="Times New Roman" w:cs="Times New Roman"/>
          <w:sz w:val="24"/>
          <w:szCs w:val="24"/>
        </w:rPr>
        <w:t>Accordingly, the ATP</w:t>
      </w:r>
      <w:r w:rsidR="00251CF6">
        <w:rPr>
          <w:rFonts w:ascii="Times New Roman" w:hAnsi="Times New Roman" w:cs="Times New Roman"/>
          <w:sz w:val="24"/>
          <w:szCs w:val="24"/>
        </w:rPr>
        <w:t xml:space="preserve"> request</w:t>
      </w:r>
      <w:r w:rsidR="00E73434">
        <w:rPr>
          <w:rFonts w:ascii="Times New Roman" w:hAnsi="Times New Roman" w:cs="Times New Roman"/>
          <w:sz w:val="24"/>
          <w:szCs w:val="24"/>
        </w:rPr>
        <w:t>s</w:t>
      </w:r>
      <w:r w:rsidR="00251CF6">
        <w:rPr>
          <w:rFonts w:ascii="Times New Roman" w:hAnsi="Times New Roman" w:cs="Times New Roman"/>
          <w:sz w:val="24"/>
          <w:szCs w:val="24"/>
        </w:rPr>
        <w:t xml:space="preserve"> that the Agency revise this definition to reflect </w:t>
      </w:r>
      <w:r w:rsidR="00850B4F">
        <w:rPr>
          <w:rFonts w:ascii="Times New Roman" w:hAnsi="Times New Roman" w:cs="Times New Roman"/>
          <w:sz w:val="24"/>
          <w:szCs w:val="24"/>
        </w:rPr>
        <w:t xml:space="preserve">the reality of </w:t>
      </w:r>
      <w:r w:rsidR="00251CF6">
        <w:rPr>
          <w:rFonts w:ascii="Times New Roman" w:hAnsi="Times New Roman" w:cs="Times New Roman"/>
          <w:sz w:val="24"/>
          <w:szCs w:val="24"/>
        </w:rPr>
        <w:t xml:space="preserve">these situations. </w:t>
      </w:r>
    </w:p>
    <w:p w14:paraId="4FE9C4E3" w14:textId="6E79A75F" w:rsidR="00426C4E" w:rsidRPr="006D0F69" w:rsidRDefault="00426C4E" w:rsidP="006D0F69">
      <w:pPr>
        <w:pStyle w:val="ListParagraph"/>
        <w:numPr>
          <w:ilvl w:val="0"/>
          <w:numId w:val="11"/>
        </w:numPr>
        <w:rPr>
          <w:rFonts w:ascii="Times New Roman" w:hAnsi="Times New Roman" w:cs="Times New Roman"/>
          <w:b/>
          <w:bCs/>
          <w:sz w:val="24"/>
          <w:szCs w:val="24"/>
        </w:rPr>
      </w:pPr>
      <w:r w:rsidRPr="006D0F69">
        <w:rPr>
          <w:rFonts w:ascii="Times New Roman" w:hAnsi="Times New Roman" w:cs="Times New Roman"/>
          <w:b/>
          <w:bCs/>
          <w:sz w:val="24"/>
          <w:szCs w:val="24"/>
        </w:rPr>
        <w:t>Financial Incentives</w:t>
      </w:r>
    </w:p>
    <w:p w14:paraId="48941A8D" w14:textId="55F0F16E" w:rsidR="00141BFD" w:rsidRPr="00B87F1E" w:rsidRDefault="006453E1" w:rsidP="00B87F1E">
      <w:pPr>
        <w:ind w:firstLine="450"/>
        <w:rPr>
          <w:rFonts w:ascii="Times New Roman" w:hAnsi="Times New Roman" w:cs="Times New Roman"/>
          <w:sz w:val="24"/>
          <w:szCs w:val="24"/>
        </w:rPr>
      </w:pPr>
      <w:r>
        <w:rPr>
          <w:rFonts w:ascii="Times New Roman" w:hAnsi="Times New Roman" w:cs="Times New Roman"/>
          <w:sz w:val="24"/>
          <w:szCs w:val="24"/>
        </w:rPr>
        <w:t xml:space="preserve">The Proposed Regulation </w:t>
      </w:r>
      <w:r w:rsidR="00850B4F">
        <w:rPr>
          <w:rFonts w:ascii="Times New Roman" w:hAnsi="Times New Roman" w:cs="Times New Roman"/>
          <w:sz w:val="24"/>
          <w:szCs w:val="24"/>
        </w:rPr>
        <w:t xml:space="preserve">would </w:t>
      </w:r>
      <w:r>
        <w:rPr>
          <w:rFonts w:ascii="Times New Roman" w:hAnsi="Times New Roman" w:cs="Times New Roman"/>
          <w:sz w:val="24"/>
          <w:szCs w:val="24"/>
        </w:rPr>
        <w:t>define “financial incentive” a</w:t>
      </w:r>
      <w:r w:rsidR="00B437A7">
        <w:rPr>
          <w:rFonts w:ascii="Times New Roman" w:hAnsi="Times New Roman" w:cs="Times New Roman"/>
          <w:sz w:val="24"/>
          <w:szCs w:val="24"/>
        </w:rPr>
        <w:t>s “</w:t>
      </w:r>
      <w:r w:rsidR="00B437A7" w:rsidRPr="00B437A7">
        <w:rPr>
          <w:rFonts w:ascii="Times New Roman" w:hAnsi="Times New Roman" w:cs="Times New Roman"/>
          <w:sz w:val="24"/>
          <w:szCs w:val="24"/>
        </w:rPr>
        <w:t xml:space="preserve">a program, benefit, or other offering, including payments to consumers, for the collection, retention, sale, or sharing of personal information. </w:t>
      </w:r>
      <w:r w:rsidR="00B437A7" w:rsidRPr="00B437A7">
        <w:rPr>
          <w:rFonts w:ascii="Times New Roman" w:hAnsi="Times New Roman" w:cs="Times New Roman"/>
          <w:i/>
          <w:iCs/>
          <w:sz w:val="24"/>
          <w:szCs w:val="24"/>
        </w:rPr>
        <w:t xml:space="preserve">Price or service differences are types of financial </w:t>
      </w:r>
      <w:bookmarkStart w:id="1" w:name="_Hlk108514775"/>
      <w:r w:rsidR="004D3EAF" w:rsidRPr="00B437A7">
        <w:rPr>
          <w:rFonts w:ascii="Times New Roman" w:hAnsi="Times New Roman" w:cs="Times New Roman"/>
          <w:i/>
          <w:iCs/>
          <w:sz w:val="24"/>
          <w:szCs w:val="24"/>
        </w:rPr>
        <w:t>incentives</w:t>
      </w:r>
      <w:r w:rsidR="004D3EAF">
        <w:rPr>
          <w:rFonts w:ascii="Times New Roman" w:hAnsi="Times New Roman" w:cs="Times New Roman"/>
          <w:sz w:val="24"/>
          <w:szCs w:val="24"/>
        </w:rPr>
        <w:t>” (</w:t>
      </w:r>
      <w:r w:rsidR="007D5157" w:rsidRPr="007D5157">
        <w:rPr>
          <w:rFonts w:ascii="Times New Roman" w:hAnsi="Times New Roman" w:cs="Times New Roman"/>
          <w:sz w:val="24"/>
          <w:szCs w:val="24"/>
        </w:rPr>
        <w:t>§</w:t>
      </w:r>
      <w:r w:rsidR="007D5157">
        <w:rPr>
          <w:rFonts w:ascii="Times New Roman" w:hAnsi="Times New Roman" w:cs="Times New Roman"/>
          <w:sz w:val="24"/>
          <w:szCs w:val="24"/>
        </w:rPr>
        <w:t>7063(k))</w:t>
      </w:r>
      <w:bookmarkEnd w:id="1"/>
      <w:r w:rsidR="003D1EB1">
        <w:rPr>
          <w:rFonts w:ascii="Times New Roman" w:hAnsi="Times New Roman" w:cs="Times New Roman"/>
          <w:sz w:val="24"/>
          <w:szCs w:val="24"/>
        </w:rPr>
        <w:t>.</w:t>
      </w:r>
      <w:r w:rsidR="00B437A7">
        <w:rPr>
          <w:rFonts w:ascii="Times New Roman" w:hAnsi="Times New Roman" w:cs="Times New Roman"/>
          <w:sz w:val="24"/>
          <w:szCs w:val="24"/>
        </w:rPr>
        <w:t xml:space="preserve"> The Agency </w:t>
      </w:r>
      <w:r w:rsidR="007E0D07">
        <w:rPr>
          <w:rFonts w:ascii="Times New Roman" w:hAnsi="Times New Roman" w:cs="Times New Roman"/>
          <w:sz w:val="24"/>
          <w:szCs w:val="24"/>
        </w:rPr>
        <w:t>proposes to add</w:t>
      </w:r>
      <w:r w:rsidR="00B437A7">
        <w:rPr>
          <w:rFonts w:ascii="Times New Roman" w:hAnsi="Times New Roman" w:cs="Times New Roman"/>
          <w:sz w:val="24"/>
          <w:szCs w:val="24"/>
        </w:rPr>
        <w:t xml:space="preserve"> the last sentence in this definition.  This addition </w:t>
      </w:r>
      <w:r w:rsidR="007E0D07">
        <w:rPr>
          <w:rFonts w:ascii="Times New Roman" w:hAnsi="Times New Roman" w:cs="Times New Roman"/>
          <w:sz w:val="24"/>
          <w:szCs w:val="24"/>
        </w:rPr>
        <w:t>creates concerns where</w:t>
      </w:r>
      <w:r w:rsidR="00B437A7">
        <w:rPr>
          <w:rFonts w:ascii="Times New Roman" w:hAnsi="Times New Roman" w:cs="Times New Roman"/>
          <w:sz w:val="24"/>
          <w:szCs w:val="24"/>
        </w:rPr>
        <w:t xml:space="preserve"> </w:t>
      </w:r>
      <w:r w:rsidR="007E0D07">
        <w:rPr>
          <w:rFonts w:ascii="Times New Roman" w:hAnsi="Times New Roman" w:cs="Times New Roman"/>
          <w:sz w:val="24"/>
          <w:szCs w:val="24"/>
        </w:rPr>
        <w:t>testing organizations</w:t>
      </w:r>
      <w:r w:rsidR="00B437A7">
        <w:rPr>
          <w:rFonts w:ascii="Times New Roman" w:hAnsi="Times New Roman" w:cs="Times New Roman"/>
          <w:sz w:val="24"/>
          <w:szCs w:val="24"/>
        </w:rPr>
        <w:t xml:space="preserve"> price their products and services</w:t>
      </w:r>
      <w:r w:rsidR="00EF1951">
        <w:rPr>
          <w:rFonts w:ascii="Times New Roman" w:hAnsi="Times New Roman" w:cs="Times New Roman"/>
          <w:sz w:val="24"/>
          <w:szCs w:val="24"/>
        </w:rPr>
        <w:t xml:space="preserve"> differently </w:t>
      </w:r>
      <w:r w:rsidR="006F6AE6">
        <w:rPr>
          <w:rFonts w:ascii="Times New Roman" w:hAnsi="Times New Roman" w:cs="Times New Roman"/>
          <w:sz w:val="24"/>
          <w:szCs w:val="24"/>
        </w:rPr>
        <w:t>and may need additional information to process the request</w:t>
      </w:r>
      <w:r w:rsidR="001C55FE">
        <w:rPr>
          <w:rFonts w:ascii="Times New Roman" w:hAnsi="Times New Roman" w:cs="Times New Roman"/>
          <w:sz w:val="24"/>
          <w:szCs w:val="24"/>
        </w:rPr>
        <w:t xml:space="preserve"> (e.g.,</w:t>
      </w:r>
      <w:r w:rsidR="00EF1951">
        <w:rPr>
          <w:rFonts w:ascii="Times New Roman" w:hAnsi="Times New Roman" w:cs="Times New Roman"/>
          <w:sz w:val="24"/>
          <w:szCs w:val="24"/>
        </w:rPr>
        <w:t xml:space="preserve"> when an individual wants </w:t>
      </w:r>
      <w:r w:rsidR="00E34A11">
        <w:rPr>
          <w:rFonts w:ascii="Times New Roman" w:hAnsi="Times New Roman" w:cs="Times New Roman"/>
          <w:sz w:val="24"/>
          <w:szCs w:val="24"/>
        </w:rPr>
        <w:t>to obtain an expediated</w:t>
      </w:r>
      <w:r w:rsidR="00E73434">
        <w:rPr>
          <w:rFonts w:ascii="Times New Roman" w:hAnsi="Times New Roman" w:cs="Times New Roman"/>
          <w:sz w:val="24"/>
          <w:szCs w:val="24"/>
        </w:rPr>
        <w:t xml:space="preserve"> </w:t>
      </w:r>
      <w:r w:rsidR="00EF1951">
        <w:rPr>
          <w:rFonts w:ascii="Times New Roman" w:hAnsi="Times New Roman" w:cs="Times New Roman"/>
          <w:sz w:val="24"/>
          <w:szCs w:val="24"/>
        </w:rPr>
        <w:t xml:space="preserve">score </w:t>
      </w:r>
      <w:r w:rsidR="00EF1951">
        <w:rPr>
          <w:rFonts w:ascii="Times New Roman" w:hAnsi="Times New Roman" w:cs="Times New Roman"/>
          <w:sz w:val="24"/>
          <w:szCs w:val="24"/>
        </w:rPr>
        <w:lastRenderedPageBreak/>
        <w:t>report</w:t>
      </w:r>
      <w:r w:rsidR="00700DD3">
        <w:rPr>
          <w:rFonts w:ascii="Times New Roman" w:hAnsi="Times New Roman" w:cs="Times New Roman"/>
          <w:sz w:val="24"/>
          <w:szCs w:val="24"/>
        </w:rPr>
        <w:t>,</w:t>
      </w:r>
      <w:r w:rsidR="000817E1">
        <w:rPr>
          <w:rFonts w:ascii="Times New Roman" w:hAnsi="Times New Roman" w:cs="Times New Roman"/>
          <w:sz w:val="24"/>
          <w:szCs w:val="24"/>
        </w:rPr>
        <w:t xml:space="preserve"> wants to cancel a score</w:t>
      </w:r>
      <w:r w:rsidR="00700DD3">
        <w:rPr>
          <w:rFonts w:ascii="Times New Roman" w:hAnsi="Times New Roman" w:cs="Times New Roman"/>
          <w:sz w:val="24"/>
          <w:szCs w:val="24"/>
        </w:rPr>
        <w:t>, or wants to reschedule a test</w:t>
      </w:r>
      <w:r w:rsidR="001C55FE">
        <w:rPr>
          <w:rFonts w:ascii="Times New Roman" w:hAnsi="Times New Roman" w:cs="Times New Roman"/>
          <w:sz w:val="24"/>
          <w:szCs w:val="24"/>
        </w:rPr>
        <w:t>)</w:t>
      </w:r>
      <w:r w:rsidR="000817E1">
        <w:rPr>
          <w:rFonts w:ascii="Times New Roman" w:hAnsi="Times New Roman" w:cs="Times New Roman"/>
          <w:sz w:val="24"/>
          <w:szCs w:val="24"/>
        </w:rPr>
        <w:t xml:space="preserve">. </w:t>
      </w:r>
      <w:bookmarkStart w:id="2" w:name="_Hlk111978700"/>
      <w:r w:rsidR="006F6AE6">
        <w:rPr>
          <w:rFonts w:ascii="Times New Roman" w:hAnsi="Times New Roman" w:cs="Times New Roman"/>
          <w:sz w:val="24"/>
          <w:szCs w:val="24"/>
        </w:rPr>
        <w:t>Th</w:t>
      </w:r>
      <w:r w:rsidR="00141069">
        <w:rPr>
          <w:rFonts w:ascii="Times New Roman" w:hAnsi="Times New Roman" w:cs="Times New Roman"/>
          <w:sz w:val="24"/>
          <w:szCs w:val="24"/>
        </w:rPr>
        <w:t>us, the</w:t>
      </w:r>
      <w:r w:rsidR="006F6AE6">
        <w:rPr>
          <w:rFonts w:ascii="Times New Roman" w:hAnsi="Times New Roman" w:cs="Times New Roman"/>
          <w:sz w:val="24"/>
          <w:szCs w:val="24"/>
        </w:rPr>
        <w:t xml:space="preserve"> Agency </w:t>
      </w:r>
      <w:r w:rsidR="00141069">
        <w:rPr>
          <w:rFonts w:ascii="Times New Roman" w:hAnsi="Times New Roman" w:cs="Times New Roman"/>
          <w:sz w:val="24"/>
          <w:szCs w:val="24"/>
        </w:rPr>
        <w:t xml:space="preserve">needs to </w:t>
      </w:r>
      <w:r w:rsidR="001C55FE">
        <w:rPr>
          <w:rFonts w:ascii="Times New Roman" w:hAnsi="Times New Roman" w:cs="Times New Roman"/>
          <w:sz w:val="24"/>
          <w:szCs w:val="24"/>
        </w:rPr>
        <w:t>modify its proposed language so</w:t>
      </w:r>
      <w:r w:rsidR="006F6AE6">
        <w:rPr>
          <w:rFonts w:ascii="Times New Roman" w:hAnsi="Times New Roman" w:cs="Times New Roman"/>
          <w:sz w:val="24"/>
          <w:szCs w:val="24"/>
        </w:rPr>
        <w:t xml:space="preserve"> that </w:t>
      </w:r>
      <w:r w:rsidR="009E45EE">
        <w:rPr>
          <w:rFonts w:ascii="Times New Roman" w:hAnsi="Times New Roman" w:cs="Times New Roman"/>
          <w:sz w:val="24"/>
          <w:szCs w:val="24"/>
        </w:rPr>
        <w:t xml:space="preserve">when a business </w:t>
      </w:r>
      <w:r w:rsidR="00C81BDB">
        <w:rPr>
          <w:rFonts w:ascii="Times New Roman" w:hAnsi="Times New Roman" w:cs="Times New Roman"/>
          <w:sz w:val="24"/>
          <w:szCs w:val="24"/>
        </w:rPr>
        <w:t>legitimate</w:t>
      </w:r>
      <w:r w:rsidR="009E45EE">
        <w:rPr>
          <w:rFonts w:ascii="Times New Roman" w:hAnsi="Times New Roman" w:cs="Times New Roman"/>
          <w:sz w:val="24"/>
          <w:szCs w:val="24"/>
        </w:rPr>
        <w:t>ly</w:t>
      </w:r>
      <w:r w:rsidR="00C81BDB">
        <w:rPr>
          <w:rFonts w:ascii="Times New Roman" w:hAnsi="Times New Roman" w:cs="Times New Roman"/>
          <w:sz w:val="24"/>
          <w:szCs w:val="24"/>
        </w:rPr>
        <w:t xml:space="preserve"> differentiate</w:t>
      </w:r>
      <w:r w:rsidR="009E45EE">
        <w:rPr>
          <w:rFonts w:ascii="Times New Roman" w:hAnsi="Times New Roman" w:cs="Times New Roman"/>
          <w:sz w:val="24"/>
          <w:szCs w:val="24"/>
        </w:rPr>
        <w:t>s</w:t>
      </w:r>
      <w:r w:rsidR="00C81BDB">
        <w:rPr>
          <w:rFonts w:ascii="Times New Roman" w:hAnsi="Times New Roman" w:cs="Times New Roman"/>
          <w:sz w:val="24"/>
          <w:szCs w:val="24"/>
        </w:rPr>
        <w:t xml:space="preserve"> </w:t>
      </w:r>
      <w:r w:rsidR="009E45EE">
        <w:rPr>
          <w:rFonts w:ascii="Times New Roman" w:hAnsi="Times New Roman" w:cs="Times New Roman"/>
          <w:sz w:val="24"/>
          <w:szCs w:val="24"/>
        </w:rPr>
        <w:t xml:space="preserve">the pricing for its </w:t>
      </w:r>
      <w:r w:rsidR="00C81BDB">
        <w:rPr>
          <w:rFonts w:ascii="Times New Roman" w:hAnsi="Times New Roman" w:cs="Times New Roman"/>
          <w:sz w:val="24"/>
          <w:szCs w:val="24"/>
        </w:rPr>
        <w:t>services</w:t>
      </w:r>
      <w:r w:rsidR="009E45EE">
        <w:rPr>
          <w:rFonts w:ascii="Times New Roman" w:hAnsi="Times New Roman" w:cs="Times New Roman"/>
          <w:sz w:val="24"/>
          <w:szCs w:val="24"/>
        </w:rPr>
        <w:t>, it</w:t>
      </w:r>
      <w:r w:rsidR="00C81BDB">
        <w:rPr>
          <w:rFonts w:ascii="Times New Roman" w:hAnsi="Times New Roman" w:cs="Times New Roman"/>
          <w:sz w:val="24"/>
          <w:szCs w:val="24"/>
        </w:rPr>
        <w:t xml:space="preserve"> does </w:t>
      </w:r>
      <w:r w:rsidR="006F6AE6">
        <w:rPr>
          <w:rFonts w:ascii="Times New Roman" w:hAnsi="Times New Roman" w:cs="Times New Roman"/>
          <w:sz w:val="24"/>
          <w:szCs w:val="24"/>
        </w:rPr>
        <w:t xml:space="preserve">not fall under this definition. </w:t>
      </w:r>
    </w:p>
    <w:bookmarkEnd w:id="2"/>
    <w:p w14:paraId="213A6BF3" w14:textId="60431C19" w:rsidR="00B87F1E" w:rsidRDefault="00E174C9" w:rsidP="006D0F69">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Definition of “</w:t>
      </w:r>
      <w:r w:rsidR="00B87F1E" w:rsidRPr="00D75BF0">
        <w:rPr>
          <w:rFonts w:ascii="Times New Roman" w:hAnsi="Times New Roman" w:cs="Times New Roman"/>
          <w:b/>
          <w:bCs/>
          <w:sz w:val="24"/>
          <w:szCs w:val="24"/>
        </w:rPr>
        <w:t>First Party</w:t>
      </w:r>
      <w:r>
        <w:rPr>
          <w:rFonts w:ascii="Times New Roman" w:hAnsi="Times New Roman" w:cs="Times New Roman"/>
          <w:b/>
          <w:bCs/>
          <w:sz w:val="24"/>
          <w:szCs w:val="24"/>
        </w:rPr>
        <w:t>”</w:t>
      </w:r>
      <w:r w:rsidR="00D275D8">
        <w:rPr>
          <w:rFonts w:ascii="Times New Roman" w:hAnsi="Times New Roman" w:cs="Times New Roman"/>
          <w:sz w:val="24"/>
          <w:szCs w:val="24"/>
        </w:rPr>
        <w:t xml:space="preserve"> </w:t>
      </w:r>
    </w:p>
    <w:p w14:paraId="1B42A39A" w14:textId="176AF35D" w:rsidR="0072324A" w:rsidRPr="0064256F" w:rsidRDefault="00153D25" w:rsidP="0064256F">
      <w:pPr>
        <w:ind w:firstLine="450"/>
        <w:rPr>
          <w:rFonts w:ascii="Times New Roman" w:hAnsi="Times New Roman" w:cs="Times New Roman"/>
          <w:sz w:val="24"/>
          <w:szCs w:val="24"/>
        </w:rPr>
      </w:pPr>
      <w:r>
        <w:rPr>
          <w:rFonts w:ascii="Times New Roman" w:hAnsi="Times New Roman" w:cs="Times New Roman"/>
          <w:sz w:val="24"/>
          <w:szCs w:val="24"/>
        </w:rPr>
        <w:t xml:space="preserve">The </w:t>
      </w:r>
      <w:r w:rsidR="008E41C2">
        <w:rPr>
          <w:rFonts w:ascii="Times New Roman" w:hAnsi="Times New Roman" w:cs="Times New Roman"/>
          <w:sz w:val="24"/>
          <w:szCs w:val="24"/>
        </w:rPr>
        <w:t xml:space="preserve">proposed </w:t>
      </w:r>
      <w:r>
        <w:rPr>
          <w:rFonts w:ascii="Times New Roman" w:hAnsi="Times New Roman" w:cs="Times New Roman"/>
          <w:sz w:val="24"/>
          <w:szCs w:val="24"/>
        </w:rPr>
        <w:t xml:space="preserve">new definition </w:t>
      </w:r>
      <w:r w:rsidR="0078694D">
        <w:rPr>
          <w:rFonts w:ascii="Times New Roman" w:hAnsi="Times New Roman" w:cs="Times New Roman"/>
          <w:sz w:val="24"/>
          <w:szCs w:val="24"/>
        </w:rPr>
        <w:t>of</w:t>
      </w:r>
      <w:r w:rsidR="004E3D0E">
        <w:rPr>
          <w:rFonts w:ascii="Times New Roman" w:hAnsi="Times New Roman" w:cs="Times New Roman"/>
          <w:sz w:val="24"/>
          <w:szCs w:val="24"/>
        </w:rPr>
        <w:t xml:space="preserve"> </w:t>
      </w:r>
      <w:r w:rsidR="004E3D0E" w:rsidRPr="004E3D0E">
        <w:rPr>
          <w:rFonts w:ascii="Times New Roman" w:hAnsi="Times New Roman" w:cs="Times New Roman"/>
          <w:sz w:val="24"/>
          <w:szCs w:val="24"/>
        </w:rPr>
        <w:t>“First party” means the consumer-facing business with which the consumer intends and expects to interact</w:t>
      </w:r>
      <w:r w:rsidR="004E3D0E">
        <w:rPr>
          <w:rFonts w:ascii="Times New Roman" w:hAnsi="Times New Roman" w:cs="Times New Roman"/>
          <w:sz w:val="24"/>
          <w:szCs w:val="24"/>
        </w:rPr>
        <w:t>” (</w:t>
      </w:r>
      <w:r w:rsidR="008E41C2">
        <w:rPr>
          <w:rFonts w:ascii="Times New Roman" w:hAnsi="Times New Roman" w:cs="Times New Roman"/>
          <w:i/>
          <w:iCs/>
          <w:sz w:val="24"/>
          <w:szCs w:val="24"/>
        </w:rPr>
        <w:t xml:space="preserve">see </w:t>
      </w:r>
      <w:r w:rsidR="004E3D0E" w:rsidRPr="004E3D0E">
        <w:rPr>
          <w:rFonts w:ascii="Times New Roman" w:hAnsi="Times New Roman" w:cs="Times New Roman"/>
          <w:sz w:val="24"/>
          <w:szCs w:val="24"/>
        </w:rPr>
        <w:t>§7063(</w:t>
      </w:r>
      <w:r w:rsidR="004E3D0E">
        <w:rPr>
          <w:rFonts w:ascii="Times New Roman" w:hAnsi="Times New Roman" w:cs="Times New Roman"/>
          <w:sz w:val="24"/>
          <w:szCs w:val="24"/>
        </w:rPr>
        <w:t>l</w:t>
      </w:r>
      <w:r w:rsidR="004E3D0E" w:rsidRPr="004E3D0E">
        <w:rPr>
          <w:rFonts w:ascii="Times New Roman" w:hAnsi="Times New Roman" w:cs="Times New Roman"/>
          <w:sz w:val="24"/>
          <w:szCs w:val="24"/>
        </w:rPr>
        <w:t>))</w:t>
      </w:r>
      <w:r w:rsidR="004E3D0E">
        <w:rPr>
          <w:rFonts w:ascii="Times New Roman" w:hAnsi="Times New Roman" w:cs="Times New Roman"/>
          <w:sz w:val="24"/>
          <w:szCs w:val="24"/>
        </w:rPr>
        <w:t>.</w:t>
      </w:r>
      <w:r w:rsidR="00D75BF0">
        <w:rPr>
          <w:rFonts w:ascii="Times New Roman" w:hAnsi="Times New Roman" w:cs="Times New Roman"/>
          <w:sz w:val="24"/>
          <w:szCs w:val="24"/>
        </w:rPr>
        <w:t xml:space="preserve">  As indicated in the </w:t>
      </w:r>
      <w:r w:rsidR="00477212">
        <w:rPr>
          <w:rFonts w:ascii="Times New Roman" w:hAnsi="Times New Roman" w:cs="Times New Roman"/>
          <w:sz w:val="24"/>
          <w:szCs w:val="24"/>
        </w:rPr>
        <w:t xml:space="preserve">general </w:t>
      </w:r>
      <w:r w:rsidR="00D75BF0">
        <w:rPr>
          <w:rFonts w:ascii="Times New Roman" w:hAnsi="Times New Roman" w:cs="Times New Roman"/>
          <w:sz w:val="24"/>
          <w:szCs w:val="24"/>
        </w:rPr>
        <w:t>overview</w:t>
      </w:r>
      <w:r w:rsidR="0078694D">
        <w:rPr>
          <w:rFonts w:ascii="Times New Roman" w:hAnsi="Times New Roman" w:cs="Times New Roman"/>
          <w:sz w:val="24"/>
          <w:szCs w:val="24"/>
        </w:rPr>
        <w:t xml:space="preserve"> above</w:t>
      </w:r>
      <w:r w:rsidR="00D75BF0">
        <w:rPr>
          <w:rFonts w:ascii="Times New Roman" w:hAnsi="Times New Roman" w:cs="Times New Roman"/>
          <w:sz w:val="24"/>
          <w:szCs w:val="24"/>
        </w:rPr>
        <w:t>, ATP Members, specifically test sponsors</w:t>
      </w:r>
      <w:r w:rsidR="0064256F">
        <w:rPr>
          <w:rFonts w:ascii="Times New Roman" w:hAnsi="Times New Roman" w:cs="Times New Roman"/>
          <w:sz w:val="24"/>
          <w:szCs w:val="24"/>
        </w:rPr>
        <w:t xml:space="preserve">, </w:t>
      </w:r>
      <w:r w:rsidR="00D75BF0">
        <w:rPr>
          <w:rFonts w:ascii="Times New Roman" w:hAnsi="Times New Roman" w:cs="Times New Roman"/>
          <w:sz w:val="24"/>
          <w:szCs w:val="24"/>
        </w:rPr>
        <w:t>regularly use</w:t>
      </w:r>
      <w:r w:rsidR="0078542F">
        <w:rPr>
          <w:rFonts w:ascii="Times New Roman" w:hAnsi="Times New Roman" w:cs="Times New Roman"/>
          <w:sz w:val="24"/>
          <w:szCs w:val="24"/>
        </w:rPr>
        <w:t xml:space="preserve"> </w:t>
      </w:r>
      <w:r w:rsidR="0078694D">
        <w:rPr>
          <w:rFonts w:ascii="Times New Roman" w:hAnsi="Times New Roman" w:cs="Times New Roman"/>
          <w:sz w:val="24"/>
          <w:szCs w:val="24"/>
        </w:rPr>
        <w:t xml:space="preserve">a variety of </w:t>
      </w:r>
      <w:r w:rsidR="0078542F">
        <w:rPr>
          <w:rFonts w:ascii="Times New Roman" w:hAnsi="Times New Roman" w:cs="Times New Roman"/>
          <w:sz w:val="24"/>
          <w:szCs w:val="24"/>
        </w:rPr>
        <w:t xml:space="preserve">service providers to deliver tests </w:t>
      </w:r>
      <w:r w:rsidR="0078694D">
        <w:rPr>
          <w:rFonts w:ascii="Times New Roman" w:hAnsi="Times New Roman" w:cs="Times New Roman"/>
          <w:sz w:val="24"/>
          <w:szCs w:val="24"/>
        </w:rPr>
        <w:t>that</w:t>
      </w:r>
      <w:r w:rsidR="0078542F">
        <w:rPr>
          <w:rFonts w:ascii="Times New Roman" w:hAnsi="Times New Roman" w:cs="Times New Roman"/>
          <w:sz w:val="24"/>
          <w:szCs w:val="24"/>
        </w:rPr>
        <w:t xml:space="preserve"> interact more directly with c</w:t>
      </w:r>
      <w:r w:rsidR="00A61F8A">
        <w:rPr>
          <w:rFonts w:ascii="Times New Roman" w:hAnsi="Times New Roman" w:cs="Times New Roman"/>
          <w:sz w:val="24"/>
          <w:szCs w:val="24"/>
        </w:rPr>
        <w:t xml:space="preserve">onsumers but the test itself has the branding of the test sponsor.  ATP </w:t>
      </w:r>
      <w:r w:rsidR="004872AD">
        <w:rPr>
          <w:rFonts w:ascii="Times New Roman" w:hAnsi="Times New Roman" w:cs="Times New Roman"/>
          <w:sz w:val="24"/>
          <w:szCs w:val="24"/>
        </w:rPr>
        <w:t>is</w:t>
      </w:r>
      <w:r w:rsidR="00A61F8A">
        <w:rPr>
          <w:rFonts w:ascii="Times New Roman" w:hAnsi="Times New Roman" w:cs="Times New Roman"/>
          <w:sz w:val="24"/>
          <w:szCs w:val="24"/>
        </w:rPr>
        <w:t xml:space="preserve"> concern</w:t>
      </w:r>
      <w:r w:rsidR="004872AD">
        <w:rPr>
          <w:rFonts w:ascii="Times New Roman" w:hAnsi="Times New Roman" w:cs="Times New Roman"/>
          <w:sz w:val="24"/>
          <w:szCs w:val="24"/>
        </w:rPr>
        <w:t>ed</w:t>
      </w:r>
      <w:r w:rsidR="00A61F8A">
        <w:rPr>
          <w:rFonts w:ascii="Times New Roman" w:hAnsi="Times New Roman" w:cs="Times New Roman"/>
          <w:sz w:val="24"/>
          <w:szCs w:val="24"/>
        </w:rPr>
        <w:t xml:space="preserve"> </w:t>
      </w:r>
      <w:r w:rsidR="004872AD">
        <w:rPr>
          <w:rFonts w:ascii="Times New Roman" w:hAnsi="Times New Roman" w:cs="Times New Roman"/>
          <w:sz w:val="24"/>
          <w:szCs w:val="24"/>
        </w:rPr>
        <w:t xml:space="preserve">that the </w:t>
      </w:r>
      <w:r w:rsidR="00F31777">
        <w:rPr>
          <w:rFonts w:ascii="Times New Roman" w:hAnsi="Times New Roman" w:cs="Times New Roman"/>
          <w:sz w:val="24"/>
          <w:szCs w:val="24"/>
        </w:rPr>
        <w:t xml:space="preserve">use of the words “consumer-facing” are </w:t>
      </w:r>
      <w:r w:rsidR="00F6150B">
        <w:rPr>
          <w:rFonts w:ascii="Times New Roman" w:hAnsi="Times New Roman" w:cs="Times New Roman"/>
          <w:sz w:val="24"/>
          <w:szCs w:val="24"/>
        </w:rPr>
        <w:t>inappropriate</w:t>
      </w:r>
      <w:r w:rsidR="00F31777">
        <w:rPr>
          <w:rFonts w:ascii="Times New Roman" w:hAnsi="Times New Roman" w:cs="Times New Roman"/>
          <w:sz w:val="24"/>
          <w:szCs w:val="24"/>
        </w:rPr>
        <w:t xml:space="preserve"> in the context of the assessment </w:t>
      </w:r>
      <w:r w:rsidR="00232B1D">
        <w:rPr>
          <w:rFonts w:ascii="Times New Roman" w:hAnsi="Times New Roman" w:cs="Times New Roman"/>
          <w:sz w:val="24"/>
          <w:szCs w:val="24"/>
        </w:rPr>
        <w:t>community and</w:t>
      </w:r>
      <w:r w:rsidR="00F31777">
        <w:rPr>
          <w:rFonts w:ascii="Times New Roman" w:hAnsi="Times New Roman" w:cs="Times New Roman"/>
          <w:sz w:val="24"/>
          <w:szCs w:val="24"/>
        </w:rPr>
        <w:t xml:space="preserve"> are likely to cause confusion amongst consumers/test takers. </w:t>
      </w:r>
      <w:r w:rsidR="00F6150B">
        <w:rPr>
          <w:rFonts w:ascii="Times New Roman" w:hAnsi="Times New Roman" w:cs="Times New Roman"/>
          <w:sz w:val="24"/>
          <w:szCs w:val="24"/>
        </w:rPr>
        <w:t>Instead, the ATP recommends that th</w:t>
      </w:r>
      <w:r w:rsidR="00460171">
        <w:rPr>
          <w:rFonts w:ascii="Times New Roman" w:hAnsi="Times New Roman" w:cs="Times New Roman"/>
          <w:sz w:val="24"/>
          <w:szCs w:val="24"/>
        </w:rPr>
        <w:t xml:space="preserve">e Agency should focus on the </w:t>
      </w:r>
      <w:r w:rsidR="00BD6D5C">
        <w:rPr>
          <w:rFonts w:ascii="Times New Roman" w:hAnsi="Times New Roman" w:cs="Times New Roman"/>
          <w:sz w:val="24"/>
          <w:szCs w:val="24"/>
        </w:rPr>
        <w:t>formal role of the</w:t>
      </w:r>
      <w:r w:rsidR="00D4403F">
        <w:rPr>
          <w:rFonts w:ascii="Times New Roman" w:hAnsi="Times New Roman" w:cs="Times New Roman"/>
          <w:sz w:val="24"/>
          <w:szCs w:val="24"/>
        </w:rPr>
        <w:t xml:space="preserve"> covered business </w:t>
      </w:r>
      <w:r w:rsidR="00E42DE2">
        <w:rPr>
          <w:rFonts w:ascii="Times New Roman" w:hAnsi="Times New Roman" w:cs="Times New Roman"/>
          <w:sz w:val="24"/>
          <w:szCs w:val="24"/>
        </w:rPr>
        <w:t>as the controlle</w:t>
      </w:r>
      <w:r w:rsidR="000B3471">
        <w:rPr>
          <w:rFonts w:ascii="Times New Roman" w:hAnsi="Times New Roman" w:cs="Times New Roman"/>
          <w:sz w:val="24"/>
          <w:szCs w:val="24"/>
        </w:rPr>
        <w:t>r of personal data</w:t>
      </w:r>
      <w:r w:rsidR="001C3D1B">
        <w:rPr>
          <w:rFonts w:ascii="Times New Roman" w:hAnsi="Times New Roman" w:cs="Times New Roman"/>
          <w:sz w:val="24"/>
          <w:szCs w:val="24"/>
        </w:rPr>
        <w:t>, a</w:t>
      </w:r>
      <w:r w:rsidR="00C67BA6">
        <w:rPr>
          <w:rFonts w:ascii="Times New Roman" w:hAnsi="Times New Roman" w:cs="Times New Roman"/>
          <w:sz w:val="24"/>
          <w:szCs w:val="24"/>
        </w:rPr>
        <w:t>nd</w:t>
      </w:r>
      <w:r w:rsidR="001C3D1B">
        <w:rPr>
          <w:rFonts w:ascii="Times New Roman" w:hAnsi="Times New Roman" w:cs="Times New Roman"/>
          <w:sz w:val="24"/>
          <w:szCs w:val="24"/>
        </w:rPr>
        <w:t xml:space="preserve"> continue to require that</w:t>
      </w:r>
      <w:r w:rsidR="00C67BA6">
        <w:rPr>
          <w:rFonts w:ascii="Times New Roman" w:hAnsi="Times New Roman" w:cs="Times New Roman"/>
          <w:sz w:val="24"/>
          <w:szCs w:val="24"/>
        </w:rPr>
        <w:t>, if</w:t>
      </w:r>
      <w:r w:rsidR="001C3D1B">
        <w:rPr>
          <w:rFonts w:ascii="Times New Roman" w:hAnsi="Times New Roman" w:cs="Times New Roman"/>
          <w:sz w:val="24"/>
          <w:szCs w:val="24"/>
        </w:rPr>
        <w:t xml:space="preserve"> the </w:t>
      </w:r>
      <w:r w:rsidR="000B3471">
        <w:rPr>
          <w:rFonts w:ascii="Times New Roman" w:hAnsi="Times New Roman" w:cs="Times New Roman"/>
          <w:sz w:val="24"/>
          <w:szCs w:val="24"/>
        </w:rPr>
        <w:t xml:space="preserve">covered business </w:t>
      </w:r>
      <w:r w:rsidR="00BB2C67">
        <w:rPr>
          <w:rFonts w:ascii="Times New Roman" w:hAnsi="Times New Roman" w:cs="Times New Roman"/>
          <w:sz w:val="24"/>
          <w:szCs w:val="24"/>
        </w:rPr>
        <w:t xml:space="preserve">intends to delegate its responsibilities </w:t>
      </w:r>
      <w:r w:rsidR="000B3471">
        <w:rPr>
          <w:rFonts w:ascii="Times New Roman" w:hAnsi="Times New Roman" w:cs="Times New Roman"/>
          <w:sz w:val="24"/>
          <w:szCs w:val="24"/>
        </w:rPr>
        <w:t xml:space="preserve">related to </w:t>
      </w:r>
      <w:r w:rsidR="00BB2C67">
        <w:rPr>
          <w:rFonts w:ascii="Times New Roman" w:hAnsi="Times New Roman" w:cs="Times New Roman"/>
          <w:sz w:val="24"/>
          <w:szCs w:val="24"/>
        </w:rPr>
        <w:t>consumers</w:t>
      </w:r>
      <w:r w:rsidR="00DA6368">
        <w:rPr>
          <w:rFonts w:ascii="Times New Roman" w:hAnsi="Times New Roman" w:cs="Times New Roman"/>
          <w:sz w:val="24"/>
          <w:szCs w:val="24"/>
        </w:rPr>
        <w:t xml:space="preserve"> to its service providers</w:t>
      </w:r>
      <w:r w:rsidR="00BB2C67">
        <w:rPr>
          <w:rFonts w:ascii="Times New Roman" w:hAnsi="Times New Roman" w:cs="Times New Roman"/>
          <w:sz w:val="24"/>
          <w:szCs w:val="24"/>
        </w:rPr>
        <w:t xml:space="preserve">, it must do so through a </w:t>
      </w:r>
      <w:r w:rsidR="00232B1D">
        <w:rPr>
          <w:rFonts w:ascii="Times New Roman" w:hAnsi="Times New Roman" w:cs="Times New Roman"/>
          <w:sz w:val="24"/>
          <w:szCs w:val="24"/>
        </w:rPr>
        <w:t>legally binding</w:t>
      </w:r>
      <w:r w:rsidR="00BB2C67">
        <w:rPr>
          <w:rFonts w:ascii="Times New Roman" w:hAnsi="Times New Roman" w:cs="Times New Roman"/>
          <w:sz w:val="24"/>
          <w:szCs w:val="24"/>
        </w:rPr>
        <w:t xml:space="preserve"> contract which clearly provides what actions the service provide</w:t>
      </w:r>
      <w:r w:rsidR="00D4403F">
        <w:rPr>
          <w:rFonts w:ascii="Times New Roman" w:hAnsi="Times New Roman" w:cs="Times New Roman"/>
          <w:sz w:val="24"/>
          <w:szCs w:val="24"/>
        </w:rPr>
        <w:t>rs</w:t>
      </w:r>
      <w:r w:rsidR="00BB2C67">
        <w:rPr>
          <w:rFonts w:ascii="Times New Roman" w:hAnsi="Times New Roman" w:cs="Times New Roman"/>
          <w:sz w:val="24"/>
          <w:szCs w:val="24"/>
        </w:rPr>
        <w:t xml:space="preserve"> must perform to comply with the CPRA. </w:t>
      </w:r>
      <w:r w:rsidR="00C67BA6">
        <w:rPr>
          <w:rFonts w:ascii="Times New Roman" w:hAnsi="Times New Roman" w:cs="Times New Roman"/>
          <w:sz w:val="24"/>
          <w:szCs w:val="24"/>
        </w:rPr>
        <w:t xml:space="preserve"> </w:t>
      </w:r>
      <w:r w:rsidR="001C3D1B">
        <w:rPr>
          <w:rFonts w:ascii="Times New Roman" w:hAnsi="Times New Roman" w:cs="Times New Roman"/>
          <w:sz w:val="24"/>
          <w:szCs w:val="24"/>
        </w:rPr>
        <w:t xml:space="preserve"> </w:t>
      </w:r>
    </w:p>
    <w:p w14:paraId="0BB6E359" w14:textId="20A77745" w:rsidR="0043496E" w:rsidRDefault="00E034E7" w:rsidP="006D0F69">
      <w:pPr>
        <w:pStyle w:val="ListParagraph"/>
        <w:numPr>
          <w:ilvl w:val="0"/>
          <w:numId w:val="11"/>
        </w:numPr>
        <w:rPr>
          <w:rFonts w:ascii="Times New Roman" w:hAnsi="Times New Roman" w:cs="Times New Roman"/>
          <w:b/>
          <w:bCs/>
          <w:sz w:val="24"/>
          <w:szCs w:val="24"/>
        </w:rPr>
      </w:pPr>
      <w:r w:rsidRPr="00E034E7">
        <w:rPr>
          <w:rFonts w:ascii="Times New Roman" w:hAnsi="Times New Roman" w:cs="Times New Roman"/>
          <w:b/>
          <w:bCs/>
          <w:sz w:val="24"/>
          <w:szCs w:val="24"/>
        </w:rPr>
        <w:t>Restrictions on the Collection and Use of Personal Information</w:t>
      </w:r>
    </w:p>
    <w:p w14:paraId="4CD1405E" w14:textId="537B2D7B" w:rsidR="003F561A" w:rsidRPr="00FD6AD1" w:rsidRDefault="00E034E7" w:rsidP="00FB440C">
      <w:pPr>
        <w:ind w:firstLine="450"/>
        <w:rPr>
          <w:rFonts w:ascii="Times New Roman" w:hAnsi="Times New Roman" w:cs="Times New Roman"/>
          <w:sz w:val="24"/>
          <w:szCs w:val="24"/>
        </w:rPr>
      </w:pPr>
      <w:r>
        <w:rPr>
          <w:rFonts w:ascii="Times New Roman" w:hAnsi="Times New Roman" w:cs="Times New Roman"/>
          <w:sz w:val="24"/>
          <w:szCs w:val="24"/>
        </w:rPr>
        <w:t xml:space="preserve">The Agency </w:t>
      </w:r>
      <w:r w:rsidR="009B55AE">
        <w:rPr>
          <w:rFonts w:ascii="Times New Roman" w:hAnsi="Times New Roman" w:cs="Times New Roman"/>
          <w:sz w:val="24"/>
          <w:szCs w:val="24"/>
        </w:rPr>
        <w:t xml:space="preserve">proposes to </w:t>
      </w:r>
      <w:r>
        <w:rPr>
          <w:rFonts w:ascii="Times New Roman" w:hAnsi="Times New Roman" w:cs="Times New Roman"/>
          <w:sz w:val="24"/>
          <w:szCs w:val="24"/>
        </w:rPr>
        <w:t>add a new requirement</w:t>
      </w:r>
      <w:r w:rsidR="00375C56">
        <w:rPr>
          <w:rFonts w:ascii="Times New Roman" w:hAnsi="Times New Roman" w:cs="Times New Roman"/>
          <w:sz w:val="24"/>
          <w:szCs w:val="24"/>
        </w:rPr>
        <w:t xml:space="preserve"> in Section 70</w:t>
      </w:r>
      <w:r w:rsidR="00721018">
        <w:rPr>
          <w:rFonts w:ascii="Times New Roman" w:hAnsi="Times New Roman" w:cs="Times New Roman"/>
          <w:sz w:val="24"/>
          <w:szCs w:val="24"/>
        </w:rPr>
        <w:t>02, notably a higher standard for consent:</w:t>
      </w:r>
      <w:r>
        <w:rPr>
          <w:rFonts w:ascii="Times New Roman" w:hAnsi="Times New Roman" w:cs="Times New Roman"/>
          <w:sz w:val="24"/>
          <w:szCs w:val="24"/>
        </w:rPr>
        <w:t xml:space="preserve"> </w:t>
      </w:r>
      <w:r w:rsidR="00375C56">
        <w:rPr>
          <w:rFonts w:ascii="Times New Roman" w:hAnsi="Times New Roman" w:cs="Times New Roman"/>
          <w:sz w:val="24"/>
          <w:szCs w:val="24"/>
        </w:rPr>
        <w:t>“</w:t>
      </w:r>
      <w:r w:rsidR="00375C56" w:rsidRPr="00375C56">
        <w:rPr>
          <w:rFonts w:ascii="Times New Roman" w:hAnsi="Times New Roman" w:cs="Times New Roman"/>
          <w:sz w:val="24"/>
          <w:szCs w:val="24"/>
        </w:rPr>
        <w:t xml:space="preserve">A business shall obtain the </w:t>
      </w:r>
      <w:r w:rsidR="00375C56" w:rsidRPr="00FD6AD1">
        <w:rPr>
          <w:rFonts w:ascii="Times New Roman" w:hAnsi="Times New Roman" w:cs="Times New Roman"/>
          <w:sz w:val="24"/>
          <w:szCs w:val="24"/>
        </w:rPr>
        <w:t xml:space="preserve">consumer’s </w:t>
      </w:r>
      <w:r w:rsidR="00375C56" w:rsidRPr="00D12A7D">
        <w:rPr>
          <w:rFonts w:ascii="Times New Roman" w:hAnsi="Times New Roman" w:cs="Times New Roman"/>
          <w:sz w:val="24"/>
          <w:szCs w:val="24"/>
          <w:u w:val="single"/>
        </w:rPr>
        <w:t>explicit consent</w:t>
      </w:r>
      <w:r w:rsidR="00375C56" w:rsidRPr="00375C56">
        <w:rPr>
          <w:rFonts w:ascii="Times New Roman" w:hAnsi="Times New Roman" w:cs="Times New Roman"/>
          <w:sz w:val="24"/>
          <w:szCs w:val="24"/>
        </w:rPr>
        <w:t xml:space="preserve"> in accordance with </w:t>
      </w:r>
      <w:r w:rsidR="00D12A7D">
        <w:rPr>
          <w:rFonts w:ascii="Times New Roman" w:hAnsi="Times New Roman" w:cs="Times New Roman"/>
          <w:sz w:val="24"/>
          <w:szCs w:val="24"/>
        </w:rPr>
        <w:t>S</w:t>
      </w:r>
      <w:r w:rsidR="00375C56" w:rsidRPr="00375C56">
        <w:rPr>
          <w:rFonts w:ascii="Times New Roman" w:hAnsi="Times New Roman" w:cs="Times New Roman"/>
          <w:sz w:val="24"/>
          <w:szCs w:val="24"/>
        </w:rPr>
        <w:t>ection 7004 before collecting, using, retaining, and/or sharing the</w:t>
      </w:r>
      <w:r w:rsidR="00C41FCF">
        <w:rPr>
          <w:rFonts w:ascii="Times New Roman" w:hAnsi="Times New Roman" w:cs="Times New Roman"/>
          <w:sz w:val="24"/>
          <w:szCs w:val="24"/>
        </w:rPr>
        <w:t xml:space="preserve"> </w:t>
      </w:r>
      <w:r w:rsidR="00FD6AD1" w:rsidRPr="00FD6AD1">
        <w:rPr>
          <w:rFonts w:ascii="Times New Roman" w:hAnsi="Times New Roman" w:cs="Times New Roman"/>
          <w:sz w:val="24"/>
          <w:szCs w:val="24"/>
        </w:rPr>
        <w:t>consumer’s personal information for any purpose that is unrelated or incompatible with the purpose(s) for which the personal information</w:t>
      </w:r>
      <w:r w:rsidR="00E73434">
        <w:rPr>
          <w:rFonts w:ascii="Times New Roman" w:hAnsi="Times New Roman" w:cs="Times New Roman"/>
          <w:sz w:val="24"/>
          <w:szCs w:val="24"/>
        </w:rPr>
        <w:t xml:space="preserve"> is </w:t>
      </w:r>
      <w:r w:rsidR="00FD6AD1" w:rsidRPr="00FD6AD1">
        <w:rPr>
          <w:rFonts w:ascii="Times New Roman" w:hAnsi="Times New Roman" w:cs="Times New Roman"/>
          <w:sz w:val="24"/>
          <w:szCs w:val="24"/>
        </w:rPr>
        <w:t>collected or processe</w:t>
      </w:r>
      <w:r w:rsidR="00FD6AD1">
        <w:rPr>
          <w:rFonts w:ascii="Times New Roman" w:hAnsi="Times New Roman" w:cs="Times New Roman"/>
          <w:sz w:val="24"/>
          <w:szCs w:val="24"/>
        </w:rPr>
        <w:t xml:space="preserve">d.  </w:t>
      </w:r>
      <w:r w:rsidR="00B212DA">
        <w:rPr>
          <w:rFonts w:ascii="Times New Roman" w:hAnsi="Times New Roman" w:cs="Times New Roman"/>
          <w:sz w:val="24"/>
          <w:szCs w:val="24"/>
        </w:rPr>
        <w:t xml:space="preserve">The Agency has provided no </w:t>
      </w:r>
      <w:r w:rsidR="00DA5432">
        <w:rPr>
          <w:rFonts w:ascii="Times New Roman" w:hAnsi="Times New Roman" w:cs="Times New Roman"/>
          <w:sz w:val="24"/>
          <w:szCs w:val="24"/>
        </w:rPr>
        <w:t xml:space="preserve">definition </w:t>
      </w:r>
      <w:r w:rsidR="00E73434">
        <w:rPr>
          <w:rFonts w:ascii="Times New Roman" w:hAnsi="Times New Roman" w:cs="Times New Roman"/>
          <w:sz w:val="24"/>
          <w:szCs w:val="24"/>
        </w:rPr>
        <w:t xml:space="preserve">of what </w:t>
      </w:r>
      <w:r w:rsidR="00A07EC3">
        <w:rPr>
          <w:rFonts w:ascii="Times New Roman" w:hAnsi="Times New Roman" w:cs="Times New Roman"/>
          <w:sz w:val="24"/>
          <w:szCs w:val="24"/>
        </w:rPr>
        <w:t xml:space="preserve">would constitute </w:t>
      </w:r>
      <w:r w:rsidR="00DA5432">
        <w:rPr>
          <w:rFonts w:ascii="Times New Roman" w:hAnsi="Times New Roman" w:cs="Times New Roman"/>
          <w:sz w:val="24"/>
          <w:szCs w:val="24"/>
        </w:rPr>
        <w:t xml:space="preserve">“explicit consent” and therefore, this proposed language is </w:t>
      </w:r>
      <w:r w:rsidR="00686848">
        <w:rPr>
          <w:rFonts w:ascii="Times New Roman" w:hAnsi="Times New Roman" w:cs="Times New Roman"/>
          <w:sz w:val="24"/>
          <w:szCs w:val="24"/>
        </w:rPr>
        <w:t xml:space="preserve">inappropriate.  </w:t>
      </w:r>
      <w:r w:rsidR="00062887">
        <w:rPr>
          <w:rFonts w:ascii="Times New Roman" w:hAnsi="Times New Roman" w:cs="Times New Roman"/>
          <w:sz w:val="24"/>
          <w:szCs w:val="24"/>
        </w:rPr>
        <w:t xml:space="preserve">The ATP contends that </w:t>
      </w:r>
      <w:r w:rsidR="00EF0B32">
        <w:rPr>
          <w:rFonts w:ascii="Times New Roman" w:hAnsi="Times New Roman" w:cs="Times New Roman"/>
          <w:sz w:val="24"/>
          <w:szCs w:val="24"/>
        </w:rPr>
        <w:t>when a</w:t>
      </w:r>
      <w:r w:rsidR="00921E20">
        <w:rPr>
          <w:rFonts w:ascii="Times New Roman" w:hAnsi="Times New Roman" w:cs="Times New Roman"/>
          <w:sz w:val="24"/>
          <w:szCs w:val="24"/>
        </w:rPr>
        <w:t xml:space="preserve"> testing organization present</w:t>
      </w:r>
      <w:r w:rsidR="008C0C72">
        <w:rPr>
          <w:rFonts w:ascii="Times New Roman" w:hAnsi="Times New Roman" w:cs="Times New Roman"/>
          <w:sz w:val="24"/>
          <w:szCs w:val="24"/>
        </w:rPr>
        <w:t>s</w:t>
      </w:r>
      <w:r w:rsidR="00921E20">
        <w:rPr>
          <w:rFonts w:ascii="Times New Roman" w:hAnsi="Times New Roman" w:cs="Times New Roman"/>
          <w:sz w:val="24"/>
          <w:szCs w:val="24"/>
        </w:rPr>
        <w:t xml:space="preserve"> a </w:t>
      </w:r>
      <w:r w:rsidR="00232B1D">
        <w:rPr>
          <w:rFonts w:ascii="Times New Roman" w:hAnsi="Times New Roman" w:cs="Times New Roman"/>
          <w:sz w:val="24"/>
          <w:szCs w:val="24"/>
        </w:rPr>
        <w:t>legally binding</w:t>
      </w:r>
      <w:r w:rsidR="00062887">
        <w:rPr>
          <w:rFonts w:ascii="Times New Roman" w:hAnsi="Times New Roman" w:cs="Times New Roman"/>
          <w:sz w:val="24"/>
          <w:szCs w:val="24"/>
        </w:rPr>
        <w:t xml:space="preserve"> agreement </w:t>
      </w:r>
      <w:r w:rsidR="00921E20">
        <w:rPr>
          <w:rFonts w:ascii="Times New Roman" w:hAnsi="Times New Roman" w:cs="Times New Roman"/>
          <w:sz w:val="24"/>
          <w:szCs w:val="24"/>
        </w:rPr>
        <w:t xml:space="preserve">to </w:t>
      </w:r>
      <w:r w:rsidR="003F561A">
        <w:rPr>
          <w:rFonts w:ascii="Times New Roman" w:hAnsi="Times New Roman" w:cs="Times New Roman"/>
          <w:sz w:val="24"/>
          <w:szCs w:val="24"/>
        </w:rPr>
        <w:t>a</w:t>
      </w:r>
      <w:r w:rsidR="00062887">
        <w:rPr>
          <w:rFonts w:ascii="Times New Roman" w:hAnsi="Times New Roman" w:cs="Times New Roman"/>
          <w:sz w:val="24"/>
          <w:szCs w:val="24"/>
        </w:rPr>
        <w:t xml:space="preserve"> test t</w:t>
      </w:r>
      <w:r w:rsidR="00AC20CB">
        <w:rPr>
          <w:rFonts w:ascii="Times New Roman" w:hAnsi="Times New Roman" w:cs="Times New Roman"/>
          <w:sz w:val="24"/>
          <w:szCs w:val="24"/>
        </w:rPr>
        <w:t>aker</w:t>
      </w:r>
      <w:r w:rsidR="00921E20">
        <w:rPr>
          <w:rFonts w:ascii="Times New Roman" w:hAnsi="Times New Roman" w:cs="Times New Roman"/>
          <w:sz w:val="24"/>
          <w:szCs w:val="24"/>
        </w:rPr>
        <w:t xml:space="preserve"> prior to the testing session</w:t>
      </w:r>
      <w:r w:rsidR="00871640">
        <w:rPr>
          <w:rFonts w:ascii="Times New Roman" w:hAnsi="Times New Roman" w:cs="Times New Roman"/>
          <w:sz w:val="24"/>
          <w:szCs w:val="24"/>
        </w:rPr>
        <w:t xml:space="preserve">, which </w:t>
      </w:r>
      <w:r w:rsidR="00EF0B32">
        <w:rPr>
          <w:rFonts w:ascii="Times New Roman" w:hAnsi="Times New Roman" w:cs="Times New Roman"/>
          <w:sz w:val="24"/>
          <w:szCs w:val="24"/>
        </w:rPr>
        <w:t>is</w:t>
      </w:r>
      <w:r w:rsidR="00871640">
        <w:rPr>
          <w:rFonts w:ascii="Times New Roman" w:hAnsi="Times New Roman" w:cs="Times New Roman"/>
          <w:sz w:val="24"/>
          <w:szCs w:val="24"/>
        </w:rPr>
        <w:t xml:space="preserve"> </w:t>
      </w:r>
      <w:r w:rsidR="003C02C9">
        <w:rPr>
          <w:rFonts w:ascii="Times New Roman" w:hAnsi="Times New Roman" w:cs="Times New Roman"/>
          <w:sz w:val="24"/>
          <w:szCs w:val="24"/>
        </w:rPr>
        <w:t>tied to</w:t>
      </w:r>
      <w:r w:rsidR="00921E20">
        <w:rPr>
          <w:rFonts w:ascii="Times New Roman" w:hAnsi="Times New Roman" w:cs="Times New Roman"/>
          <w:sz w:val="24"/>
          <w:szCs w:val="24"/>
        </w:rPr>
        <w:t xml:space="preserve"> </w:t>
      </w:r>
      <w:r w:rsidR="00871640">
        <w:rPr>
          <w:rFonts w:ascii="Times New Roman" w:hAnsi="Times New Roman" w:cs="Times New Roman"/>
          <w:sz w:val="24"/>
          <w:szCs w:val="24"/>
        </w:rPr>
        <w:t>a disclosure notice and privacy policy that comply with the CPRA</w:t>
      </w:r>
      <w:r w:rsidR="003C02C9">
        <w:rPr>
          <w:rFonts w:ascii="Times New Roman" w:hAnsi="Times New Roman" w:cs="Times New Roman"/>
          <w:sz w:val="24"/>
          <w:szCs w:val="24"/>
        </w:rPr>
        <w:t>,</w:t>
      </w:r>
      <w:r w:rsidR="001C7A30">
        <w:rPr>
          <w:rFonts w:ascii="Times New Roman" w:hAnsi="Times New Roman" w:cs="Times New Roman"/>
          <w:sz w:val="24"/>
          <w:szCs w:val="24"/>
        </w:rPr>
        <w:t xml:space="preserve"> the test taker’s acceptance (</w:t>
      </w:r>
      <w:r w:rsidR="00B212DA">
        <w:rPr>
          <w:rFonts w:ascii="Times New Roman" w:hAnsi="Times New Roman" w:cs="Times New Roman"/>
          <w:sz w:val="24"/>
          <w:szCs w:val="24"/>
        </w:rPr>
        <w:t xml:space="preserve">e.g., using a checkbox or digital signature) </w:t>
      </w:r>
      <w:r w:rsidR="001C7A30">
        <w:rPr>
          <w:rFonts w:ascii="Times New Roman" w:hAnsi="Times New Roman" w:cs="Times New Roman"/>
          <w:sz w:val="24"/>
          <w:szCs w:val="24"/>
        </w:rPr>
        <w:t>is</w:t>
      </w:r>
      <w:r w:rsidR="003C02C9">
        <w:rPr>
          <w:rFonts w:ascii="Times New Roman" w:hAnsi="Times New Roman" w:cs="Times New Roman"/>
          <w:sz w:val="24"/>
          <w:szCs w:val="24"/>
        </w:rPr>
        <w:t xml:space="preserve"> legally sufficient to constitute “explicit consent.” </w:t>
      </w:r>
      <w:r w:rsidR="009304DE">
        <w:rPr>
          <w:rFonts w:ascii="Times New Roman" w:hAnsi="Times New Roman" w:cs="Times New Roman"/>
          <w:sz w:val="24"/>
          <w:szCs w:val="24"/>
        </w:rPr>
        <w:t>Moreover, t</w:t>
      </w:r>
      <w:r w:rsidR="003C02C9">
        <w:rPr>
          <w:rFonts w:ascii="Times New Roman" w:hAnsi="Times New Roman" w:cs="Times New Roman"/>
          <w:sz w:val="24"/>
          <w:szCs w:val="24"/>
        </w:rPr>
        <w:t xml:space="preserve">his is essentially </w:t>
      </w:r>
      <w:r w:rsidR="005044D3">
        <w:rPr>
          <w:rFonts w:ascii="Times New Roman" w:hAnsi="Times New Roman" w:cs="Times New Roman"/>
          <w:sz w:val="24"/>
          <w:szCs w:val="24"/>
        </w:rPr>
        <w:t>the same process that</w:t>
      </w:r>
      <w:r w:rsidR="003C02C9">
        <w:rPr>
          <w:rFonts w:ascii="Times New Roman" w:hAnsi="Times New Roman" w:cs="Times New Roman"/>
          <w:sz w:val="24"/>
          <w:szCs w:val="24"/>
        </w:rPr>
        <w:t xml:space="preserve"> is already required for </w:t>
      </w:r>
      <w:r w:rsidR="00B212DA">
        <w:rPr>
          <w:rFonts w:ascii="Times New Roman" w:hAnsi="Times New Roman" w:cs="Times New Roman"/>
          <w:sz w:val="24"/>
          <w:szCs w:val="24"/>
        </w:rPr>
        <w:t>a test take</w:t>
      </w:r>
      <w:r w:rsidR="00DA5432">
        <w:rPr>
          <w:rFonts w:ascii="Times New Roman" w:hAnsi="Times New Roman" w:cs="Times New Roman"/>
          <w:sz w:val="24"/>
          <w:szCs w:val="24"/>
        </w:rPr>
        <w:t>r</w:t>
      </w:r>
      <w:r w:rsidR="00B212DA">
        <w:rPr>
          <w:rFonts w:ascii="Times New Roman" w:hAnsi="Times New Roman" w:cs="Times New Roman"/>
          <w:sz w:val="24"/>
          <w:szCs w:val="24"/>
        </w:rPr>
        <w:t xml:space="preserve"> to </w:t>
      </w:r>
      <w:r w:rsidR="009304DE">
        <w:rPr>
          <w:rFonts w:ascii="Times New Roman" w:hAnsi="Times New Roman" w:cs="Times New Roman"/>
          <w:sz w:val="24"/>
          <w:szCs w:val="24"/>
        </w:rPr>
        <w:t xml:space="preserve">give affirmative </w:t>
      </w:r>
      <w:r w:rsidR="00B212DA">
        <w:rPr>
          <w:rFonts w:ascii="Times New Roman" w:hAnsi="Times New Roman" w:cs="Times New Roman"/>
          <w:sz w:val="24"/>
          <w:szCs w:val="24"/>
        </w:rPr>
        <w:t xml:space="preserve">consent to the collection and use of </w:t>
      </w:r>
      <w:r w:rsidR="003B310D">
        <w:rPr>
          <w:rFonts w:ascii="Times New Roman" w:hAnsi="Times New Roman" w:cs="Times New Roman"/>
          <w:sz w:val="24"/>
          <w:szCs w:val="24"/>
        </w:rPr>
        <w:t>sensitive personal information</w:t>
      </w:r>
      <w:r w:rsidR="00B212DA">
        <w:rPr>
          <w:rFonts w:ascii="Times New Roman" w:hAnsi="Times New Roman" w:cs="Times New Roman"/>
          <w:sz w:val="24"/>
          <w:szCs w:val="24"/>
        </w:rPr>
        <w:t>.  Therefore,</w:t>
      </w:r>
      <w:r w:rsidR="005044D3">
        <w:rPr>
          <w:rFonts w:ascii="Times New Roman" w:hAnsi="Times New Roman" w:cs="Times New Roman"/>
          <w:sz w:val="24"/>
          <w:szCs w:val="24"/>
        </w:rPr>
        <w:t xml:space="preserve"> the proposal to add </w:t>
      </w:r>
      <w:r w:rsidR="003F561A">
        <w:rPr>
          <w:rFonts w:ascii="Times New Roman" w:hAnsi="Times New Roman" w:cs="Times New Roman"/>
          <w:sz w:val="24"/>
          <w:szCs w:val="24"/>
        </w:rPr>
        <w:t xml:space="preserve">the word </w:t>
      </w:r>
      <w:r w:rsidR="005044D3">
        <w:rPr>
          <w:rFonts w:ascii="Times New Roman" w:hAnsi="Times New Roman" w:cs="Times New Roman"/>
          <w:sz w:val="24"/>
          <w:szCs w:val="24"/>
        </w:rPr>
        <w:t>“explicit</w:t>
      </w:r>
      <w:r w:rsidR="003F561A">
        <w:rPr>
          <w:rFonts w:ascii="Times New Roman" w:hAnsi="Times New Roman" w:cs="Times New Roman"/>
          <w:sz w:val="24"/>
          <w:szCs w:val="24"/>
        </w:rPr>
        <w:t>” to consent should be dropped.</w:t>
      </w:r>
    </w:p>
    <w:p w14:paraId="6CC0B02B" w14:textId="77777777" w:rsidR="009B4CDB" w:rsidRPr="000B4230" w:rsidRDefault="00DD3D18" w:rsidP="000B4230">
      <w:pPr>
        <w:pStyle w:val="ListParagraph"/>
        <w:numPr>
          <w:ilvl w:val="0"/>
          <w:numId w:val="11"/>
        </w:numPr>
        <w:rPr>
          <w:rFonts w:ascii="Times New Roman" w:hAnsi="Times New Roman" w:cs="Times New Roman"/>
          <w:b/>
          <w:bCs/>
          <w:sz w:val="24"/>
          <w:szCs w:val="24"/>
        </w:rPr>
      </w:pPr>
      <w:r w:rsidRPr="000B4230">
        <w:rPr>
          <w:rFonts w:ascii="Times New Roman" w:hAnsi="Times New Roman" w:cs="Times New Roman"/>
          <w:b/>
          <w:bCs/>
          <w:sz w:val="24"/>
          <w:szCs w:val="24"/>
        </w:rPr>
        <w:t>Notice at Collection of Personal Information.</w:t>
      </w:r>
    </w:p>
    <w:p w14:paraId="0CEE62AC" w14:textId="77777777" w:rsidR="003D1EB1" w:rsidRDefault="007A7125" w:rsidP="008137FD">
      <w:pPr>
        <w:ind w:firstLine="450"/>
        <w:rPr>
          <w:rFonts w:ascii="Times New Roman" w:hAnsi="Times New Roman" w:cs="Times New Roman"/>
          <w:sz w:val="24"/>
          <w:szCs w:val="24"/>
        </w:rPr>
      </w:pPr>
      <w:r w:rsidRPr="009B4CDB">
        <w:rPr>
          <w:rFonts w:ascii="Times New Roman" w:hAnsi="Times New Roman" w:cs="Times New Roman"/>
          <w:sz w:val="24"/>
          <w:szCs w:val="24"/>
        </w:rPr>
        <w:t xml:space="preserve">The ATP agrees that only businesses that control the </w:t>
      </w:r>
      <w:r w:rsidR="00524AFC" w:rsidRPr="009B4CDB">
        <w:rPr>
          <w:rFonts w:ascii="Times New Roman" w:hAnsi="Times New Roman" w:cs="Times New Roman"/>
          <w:sz w:val="24"/>
          <w:szCs w:val="24"/>
        </w:rPr>
        <w:t xml:space="preserve">collection of a consumer’s personal information </w:t>
      </w:r>
      <w:r w:rsidR="00073A28">
        <w:rPr>
          <w:rFonts w:ascii="Times New Roman" w:hAnsi="Times New Roman" w:cs="Times New Roman"/>
          <w:sz w:val="24"/>
          <w:szCs w:val="24"/>
        </w:rPr>
        <w:t>are</w:t>
      </w:r>
      <w:r w:rsidR="00524AFC" w:rsidRPr="009B4CDB">
        <w:rPr>
          <w:rFonts w:ascii="Times New Roman" w:hAnsi="Times New Roman" w:cs="Times New Roman"/>
          <w:sz w:val="24"/>
          <w:szCs w:val="24"/>
        </w:rPr>
        <w:t xml:space="preserve"> required to provide a notice at collection. </w:t>
      </w:r>
      <w:r w:rsidR="00B21EED">
        <w:rPr>
          <w:rFonts w:ascii="Times New Roman" w:hAnsi="Times New Roman" w:cs="Times New Roman"/>
          <w:sz w:val="24"/>
          <w:szCs w:val="24"/>
        </w:rPr>
        <w:t>However, t</w:t>
      </w:r>
      <w:r w:rsidR="00564631" w:rsidRPr="009B4CDB">
        <w:rPr>
          <w:rFonts w:ascii="Times New Roman" w:hAnsi="Times New Roman" w:cs="Times New Roman"/>
          <w:sz w:val="24"/>
          <w:szCs w:val="24"/>
        </w:rPr>
        <w:t xml:space="preserve">he Proposed Regulations </w:t>
      </w:r>
      <w:r w:rsidR="000745DF" w:rsidRPr="009B4CDB">
        <w:rPr>
          <w:rFonts w:ascii="Times New Roman" w:hAnsi="Times New Roman" w:cs="Times New Roman"/>
          <w:sz w:val="24"/>
          <w:szCs w:val="24"/>
        </w:rPr>
        <w:t xml:space="preserve">in Section </w:t>
      </w:r>
      <w:r w:rsidR="00FC4F2F">
        <w:rPr>
          <w:rFonts w:ascii="Times New Roman" w:hAnsi="Times New Roman" w:cs="Times New Roman"/>
          <w:sz w:val="24"/>
          <w:szCs w:val="24"/>
        </w:rPr>
        <w:t>7012</w:t>
      </w:r>
      <w:r w:rsidR="00B21EED">
        <w:rPr>
          <w:rFonts w:ascii="Times New Roman" w:hAnsi="Times New Roman" w:cs="Times New Roman"/>
          <w:sz w:val="24"/>
          <w:szCs w:val="24"/>
        </w:rPr>
        <w:t xml:space="preserve"> add </w:t>
      </w:r>
      <w:r w:rsidR="00796350">
        <w:rPr>
          <w:rFonts w:ascii="Times New Roman" w:hAnsi="Times New Roman" w:cs="Times New Roman"/>
          <w:sz w:val="24"/>
          <w:szCs w:val="24"/>
        </w:rPr>
        <w:t xml:space="preserve">complex and redundant notice requirements. </w:t>
      </w:r>
      <w:bookmarkStart w:id="3" w:name="_Hlk111979212"/>
      <w:r w:rsidR="00796350">
        <w:rPr>
          <w:rFonts w:ascii="Times New Roman" w:hAnsi="Times New Roman" w:cs="Times New Roman"/>
          <w:sz w:val="24"/>
          <w:szCs w:val="24"/>
        </w:rPr>
        <w:t xml:space="preserve">We urge the Agency to </w:t>
      </w:r>
      <w:r w:rsidR="005D1117">
        <w:rPr>
          <w:rFonts w:ascii="Times New Roman" w:hAnsi="Times New Roman" w:cs="Times New Roman"/>
          <w:sz w:val="24"/>
          <w:szCs w:val="24"/>
        </w:rPr>
        <w:t>modify</w:t>
      </w:r>
      <w:r w:rsidR="00796350">
        <w:rPr>
          <w:rFonts w:ascii="Times New Roman" w:hAnsi="Times New Roman" w:cs="Times New Roman"/>
          <w:sz w:val="24"/>
          <w:szCs w:val="24"/>
        </w:rPr>
        <w:t xml:space="preserve"> </w:t>
      </w:r>
      <w:r w:rsidR="00E83281">
        <w:rPr>
          <w:rFonts w:ascii="Times New Roman" w:hAnsi="Times New Roman" w:cs="Times New Roman"/>
          <w:sz w:val="24"/>
          <w:szCs w:val="24"/>
        </w:rPr>
        <w:t>its proposal</w:t>
      </w:r>
      <w:r w:rsidR="00796350">
        <w:rPr>
          <w:rFonts w:ascii="Times New Roman" w:hAnsi="Times New Roman" w:cs="Times New Roman"/>
          <w:sz w:val="24"/>
          <w:szCs w:val="24"/>
        </w:rPr>
        <w:t xml:space="preserve"> so that </w:t>
      </w:r>
      <w:r w:rsidR="00804A30">
        <w:rPr>
          <w:rFonts w:ascii="Times New Roman" w:hAnsi="Times New Roman" w:cs="Times New Roman"/>
          <w:sz w:val="24"/>
          <w:szCs w:val="24"/>
        </w:rPr>
        <w:t xml:space="preserve">a </w:t>
      </w:r>
      <w:r w:rsidR="00796350">
        <w:rPr>
          <w:rFonts w:ascii="Times New Roman" w:hAnsi="Times New Roman" w:cs="Times New Roman"/>
          <w:sz w:val="24"/>
          <w:szCs w:val="24"/>
        </w:rPr>
        <w:t xml:space="preserve">business </w:t>
      </w:r>
      <w:r w:rsidR="00004345">
        <w:rPr>
          <w:rFonts w:ascii="Times New Roman" w:hAnsi="Times New Roman" w:cs="Times New Roman"/>
          <w:sz w:val="24"/>
          <w:szCs w:val="24"/>
        </w:rPr>
        <w:t xml:space="preserve">can meet this requirement by </w:t>
      </w:r>
      <w:r w:rsidR="00796350">
        <w:rPr>
          <w:rFonts w:ascii="Times New Roman" w:hAnsi="Times New Roman" w:cs="Times New Roman"/>
          <w:sz w:val="24"/>
          <w:szCs w:val="24"/>
        </w:rPr>
        <w:t>link</w:t>
      </w:r>
      <w:r w:rsidR="00004345">
        <w:rPr>
          <w:rFonts w:ascii="Times New Roman" w:hAnsi="Times New Roman" w:cs="Times New Roman"/>
          <w:sz w:val="24"/>
          <w:szCs w:val="24"/>
        </w:rPr>
        <w:t>ing</w:t>
      </w:r>
      <w:r w:rsidR="00796350">
        <w:rPr>
          <w:rFonts w:ascii="Times New Roman" w:hAnsi="Times New Roman" w:cs="Times New Roman"/>
          <w:sz w:val="24"/>
          <w:szCs w:val="24"/>
        </w:rPr>
        <w:t xml:space="preserve"> </w:t>
      </w:r>
      <w:r w:rsidR="00E83281">
        <w:rPr>
          <w:rFonts w:ascii="Times New Roman" w:hAnsi="Times New Roman" w:cs="Times New Roman"/>
          <w:sz w:val="24"/>
          <w:szCs w:val="24"/>
        </w:rPr>
        <w:t xml:space="preserve">directly </w:t>
      </w:r>
      <w:r w:rsidR="00796350">
        <w:rPr>
          <w:rFonts w:ascii="Times New Roman" w:hAnsi="Times New Roman" w:cs="Times New Roman"/>
          <w:sz w:val="24"/>
          <w:szCs w:val="24"/>
        </w:rPr>
        <w:t xml:space="preserve">to </w:t>
      </w:r>
      <w:r w:rsidR="00804A30">
        <w:rPr>
          <w:rFonts w:ascii="Times New Roman" w:hAnsi="Times New Roman" w:cs="Times New Roman"/>
          <w:sz w:val="24"/>
          <w:szCs w:val="24"/>
        </w:rPr>
        <w:t>its</w:t>
      </w:r>
      <w:r w:rsidR="00796350">
        <w:rPr>
          <w:rFonts w:ascii="Times New Roman" w:hAnsi="Times New Roman" w:cs="Times New Roman"/>
          <w:sz w:val="24"/>
          <w:szCs w:val="24"/>
        </w:rPr>
        <w:t xml:space="preserve"> privacy polic</w:t>
      </w:r>
      <w:r w:rsidR="00F30192">
        <w:rPr>
          <w:rFonts w:ascii="Times New Roman" w:hAnsi="Times New Roman" w:cs="Times New Roman"/>
          <w:sz w:val="24"/>
          <w:szCs w:val="24"/>
        </w:rPr>
        <w:t>y that meets the requirements of Section 7011.</w:t>
      </w:r>
      <w:r w:rsidR="00796350">
        <w:rPr>
          <w:rFonts w:ascii="Times New Roman" w:hAnsi="Times New Roman" w:cs="Times New Roman"/>
          <w:sz w:val="24"/>
          <w:szCs w:val="24"/>
        </w:rPr>
        <w:t xml:space="preserve"> </w:t>
      </w:r>
      <w:bookmarkEnd w:id="3"/>
      <w:r w:rsidR="00796350">
        <w:rPr>
          <w:rFonts w:ascii="Times New Roman" w:hAnsi="Times New Roman" w:cs="Times New Roman"/>
          <w:sz w:val="24"/>
          <w:szCs w:val="24"/>
        </w:rPr>
        <w:t xml:space="preserve">In Section 7011, businesses are already required to provide </w:t>
      </w:r>
      <w:r w:rsidR="001175C3">
        <w:rPr>
          <w:rFonts w:ascii="Times New Roman" w:hAnsi="Times New Roman" w:cs="Times New Roman"/>
          <w:sz w:val="24"/>
          <w:szCs w:val="24"/>
        </w:rPr>
        <w:t>privacy policies that would include the same information</w:t>
      </w:r>
      <w:r w:rsidR="00796350">
        <w:rPr>
          <w:rFonts w:ascii="Times New Roman" w:hAnsi="Times New Roman" w:cs="Times New Roman"/>
          <w:sz w:val="24"/>
          <w:szCs w:val="24"/>
        </w:rPr>
        <w:t xml:space="preserve">, so including another lengthy </w:t>
      </w:r>
    </w:p>
    <w:p w14:paraId="1956CAC2" w14:textId="304C0E91" w:rsidR="002510FD" w:rsidRDefault="00796350" w:rsidP="003D1EB1">
      <w:pPr>
        <w:rPr>
          <w:rFonts w:ascii="Times New Roman" w:hAnsi="Times New Roman" w:cs="Times New Roman"/>
          <w:sz w:val="24"/>
          <w:szCs w:val="24"/>
        </w:rPr>
      </w:pPr>
      <w:r>
        <w:rPr>
          <w:rFonts w:ascii="Times New Roman" w:hAnsi="Times New Roman" w:cs="Times New Roman"/>
          <w:sz w:val="24"/>
          <w:szCs w:val="24"/>
        </w:rPr>
        <w:lastRenderedPageBreak/>
        <w:t xml:space="preserve">notice </w:t>
      </w:r>
      <w:r w:rsidR="00804A30">
        <w:rPr>
          <w:rFonts w:ascii="Times New Roman" w:hAnsi="Times New Roman" w:cs="Times New Roman"/>
          <w:sz w:val="24"/>
          <w:szCs w:val="24"/>
        </w:rPr>
        <w:t xml:space="preserve">actually </w:t>
      </w:r>
      <w:r w:rsidR="008741C1">
        <w:rPr>
          <w:rFonts w:ascii="Times New Roman" w:hAnsi="Times New Roman" w:cs="Times New Roman"/>
          <w:sz w:val="24"/>
          <w:szCs w:val="24"/>
        </w:rPr>
        <w:t xml:space="preserve">inhibits the </w:t>
      </w:r>
      <w:r w:rsidR="00B40033">
        <w:rPr>
          <w:rFonts w:ascii="Times New Roman" w:hAnsi="Times New Roman" w:cs="Times New Roman"/>
          <w:sz w:val="24"/>
          <w:szCs w:val="24"/>
        </w:rPr>
        <w:t>goal of making it easier for the consumer to understand</w:t>
      </w:r>
      <w:r w:rsidR="00F30192">
        <w:rPr>
          <w:rFonts w:ascii="Times New Roman" w:hAnsi="Times New Roman" w:cs="Times New Roman"/>
          <w:sz w:val="24"/>
          <w:szCs w:val="24"/>
        </w:rPr>
        <w:t xml:space="preserve"> the business</w:t>
      </w:r>
      <w:r w:rsidR="00004345">
        <w:rPr>
          <w:rFonts w:ascii="Times New Roman" w:hAnsi="Times New Roman" w:cs="Times New Roman"/>
          <w:sz w:val="24"/>
          <w:szCs w:val="24"/>
        </w:rPr>
        <w:t>’</w:t>
      </w:r>
      <w:r w:rsidR="00F30192">
        <w:rPr>
          <w:rFonts w:ascii="Times New Roman" w:hAnsi="Times New Roman" w:cs="Times New Roman"/>
          <w:sz w:val="24"/>
          <w:szCs w:val="24"/>
        </w:rPr>
        <w:t xml:space="preserve"> personal information collection and </w:t>
      </w:r>
      <w:r w:rsidR="00073A28">
        <w:rPr>
          <w:rFonts w:ascii="Times New Roman" w:hAnsi="Times New Roman" w:cs="Times New Roman"/>
          <w:sz w:val="24"/>
          <w:szCs w:val="24"/>
        </w:rPr>
        <w:t>purposes and</w:t>
      </w:r>
      <w:r w:rsidR="00B40033">
        <w:rPr>
          <w:rFonts w:ascii="Times New Roman" w:hAnsi="Times New Roman" w:cs="Times New Roman"/>
          <w:sz w:val="24"/>
          <w:szCs w:val="24"/>
        </w:rPr>
        <w:t xml:space="preserve"> adds more complex requirements for businesses. </w:t>
      </w:r>
      <w:r w:rsidR="00FB440C">
        <w:rPr>
          <w:rFonts w:ascii="Times New Roman" w:hAnsi="Times New Roman" w:cs="Times New Roman"/>
          <w:sz w:val="24"/>
          <w:szCs w:val="24"/>
        </w:rPr>
        <w:t>Moreover, as noted e</w:t>
      </w:r>
      <w:r w:rsidR="007B325A">
        <w:rPr>
          <w:rFonts w:ascii="Times New Roman" w:hAnsi="Times New Roman" w:cs="Times New Roman"/>
          <w:sz w:val="24"/>
          <w:szCs w:val="24"/>
        </w:rPr>
        <w:t xml:space="preserve">arlier, </w:t>
      </w:r>
      <w:r w:rsidR="00D4403F">
        <w:rPr>
          <w:rFonts w:ascii="Times New Roman" w:hAnsi="Times New Roman" w:cs="Times New Roman"/>
          <w:sz w:val="24"/>
          <w:szCs w:val="24"/>
        </w:rPr>
        <w:t xml:space="preserve">many </w:t>
      </w:r>
      <w:r w:rsidR="007B325A">
        <w:rPr>
          <w:rFonts w:ascii="Times New Roman" w:hAnsi="Times New Roman" w:cs="Times New Roman"/>
          <w:sz w:val="24"/>
          <w:szCs w:val="24"/>
        </w:rPr>
        <w:t>ATP Members have already developed global privacy programs that follow exi</w:t>
      </w:r>
      <w:r w:rsidR="000146B6">
        <w:rPr>
          <w:rFonts w:ascii="Times New Roman" w:hAnsi="Times New Roman" w:cs="Times New Roman"/>
          <w:sz w:val="24"/>
          <w:szCs w:val="24"/>
        </w:rPr>
        <w:t>s</w:t>
      </w:r>
      <w:r w:rsidR="007B325A">
        <w:rPr>
          <w:rFonts w:ascii="Times New Roman" w:hAnsi="Times New Roman" w:cs="Times New Roman"/>
          <w:sz w:val="24"/>
          <w:szCs w:val="24"/>
        </w:rPr>
        <w:t xml:space="preserve">ting notice and privacy policy requirements. This </w:t>
      </w:r>
      <w:r w:rsidR="000B3471">
        <w:rPr>
          <w:rFonts w:ascii="Times New Roman" w:hAnsi="Times New Roman" w:cs="Times New Roman"/>
          <w:sz w:val="24"/>
          <w:szCs w:val="24"/>
        </w:rPr>
        <w:t xml:space="preserve">proposed </w:t>
      </w:r>
      <w:r w:rsidR="007B325A">
        <w:rPr>
          <w:rFonts w:ascii="Times New Roman" w:hAnsi="Times New Roman" w:cs="Times New Roman"/>
          <w:sz w:val="24"/>
          <w:szCs w:val="24"/>
        </w:rPr>
        <w:t>additi</w:t>
      </w:r>
      <w:r w:rsidR="000146B6">
        <w:rPr>
          <w:rFonts w:ascii="Times New Roman" w:hAnsi="Times New Roman" w:cs="Times New Roman"/>
          <w:sz w:val="24"/>
          <w:szCs w:val="24"/>
        </w:rPr>
        <w:t xml:space="preserve">onal notice </w:t>
      </w:r>
      <w:r w:rsidR="007B325A">
        <w:rPr>
          <w:rFonts w:ascii="Times New Roman" w:hAnsi="Times New Roman" w:cs="Times New Roman"/>
          <w:sz w:val="24"/>
          <w:szCs w:val="24"/>
        </w:rPr>
        <w:t xml:space="preserve">requirement only adds unnecessary burdens for businesses and is redundant. </w:t>
      </w:r>
    </w:p>
    <w:p w14:paraId="56E717A0" w14:textId="70D79F59" w:rsidR="00714025" w:rsidRDefault="00714025" w:rsidP="002510FD">
      <w:pPr>
        <w:ind w:firstLine="450"/>
        <w:rPr>
          <w:rFonts w:ascii="Times New Roman" w:hAnsi="Times New Roman" w:cs="Times New Roman"/>
          <w:sz w:val="24"/>
          <w:szCs w:val="24"/>
        </w:rPr>
      </w:pPr>
      <w:r>
        <w:rPr>
          <w:rFonts w:ascii="Times New Roman" w:hAnsi="Times New Roman" w:cs="Times New Roman"/>
          <w:sz w:val="24"/>
          <w:szCs w:val="24"/>
        </w:rPr>
        <w:t xml:space="preserve">The ATP also objects to </w:t>
      </w:r>
      <w:r w:rsidR="00720B5E">
        <w:rPr>
          <w:rFonts w:ascii="Times New Roman" w:hAnsi="Times New Roman" w:cs="Times New Roman"/>
          <w:sz w:val="24"/>
          <w:szCs w:val="24"/>
        </w:rPr>
        <w:t xml:space="preserve">the </w:t>
      </w:r>
      <w:r w:rsidR="008137FD">
        <w:rPr>
          <w:rFonts w:ascii="Times New Roman" w:hAnsi="Times New Roman" w:cs="Times New Roman"/>
          <w:sz w:val="24"/>
          <w:szCs w:val="24"/>
        </w:rPr>
        <w:t xml:space="preserve">proposed </w:t>
      </w:r>
      <w:r w:rsidR="00720B5E">
        <w:rPr>
          <w:rFonts w:ascii="Times New Roman" w:hAnsi="Times New Roman" w:cs="Times New Roman"/>
          <w:sz w:val="24"/>
          <w:szCs w:val="24"/>
        </w:rPr>
        <w:t xml:space="preserve">requirement for employers in </w:t>
      </w:r>
      <w:r>
        <w:rPr>
          <w:rFonts w:ascii="Times New Roman" w:hAnsi="Times New Roman" w:cs="Times New Roman"/>
          <w:sz w:val="24"/>
          <w:szCs w:val="24"/>
        </w:rPr>
        <w:t>Subsection</w:t>
      </w:r>
      <w:r w:rsidR="00E73434">
        <w:rPr>
          <w:rFonts w:ascii="Times New Roman" w:hAnsi="Times New Roman" w:cs="Times New Roman"/>
          <w:sz w:val="24"/>
          <w:szCs w:val="24"/>
        </w:rPr>
        <w:t>s</w:t>
      </w:r>
      <w:r>
        <w:rPr>
          <w:rFonts w:ascii="Times New Roman" w:hAnsi="Times New Roman" w:cs="Times New Roman"/>
          <w:sz w:val="24"/>
          <w:szCs w:val="24"/>
        </w:rPr>
        <w:t xml:space="preserve"> </w:t>
      </w:r>
      <w:r w:rsidR="00720B5E" w:rsidRPr="00720B5E">
        <w:rPr>
          <w:rFonts w:ascii="Times New Roman" w:hAnsi="Times New Roman" w:cs="Times New Roman"/>
          <w:sz w:val="24"/>
          <w:szCs w:val="24"/>
        </w:rPr>
        <w:t>(j)</w:t>
      </w:r>
      <w:r w:rsidR="00F83DC5">
        <w:rPr>
          <w:rFonts w:ascii="Times New Roman" w:hAnsi="Times New Roman" w:cs="Times New Roman"/>
          <w:sz w:val="24"/>
          <w:szCs w:val="24"/>
        </w:rPr>
        <w:t xml:space="preserve"> and (k)</w:t>
      </w:r>
      <w:r w:rsidR="003C3678">
        <w:rPr>
          <w:rFonts w:ascii="Times New Roman" w:hAnsi="Times New Roman" w:cs="Times New Roman"/>
          <w:sz w:val="24"/>
          <w:szCs w:val="24"/>
        </w:rPr>
        <w:t xml:space="preserve"> </w:t>
      </w:r>
      <w:r w:rsidR="009C5C40">
        <w:rPr>
          <w:rFonts w:ascii="Times New Roman" w:hAnsi="Times New Roman" w:cs="Times New Roman"/>
          <w:sz w:val="24"/>
          <w:szCs w:val="24"/>
        </w:rPr>
        <w:t>–</w:t>
      </w:r>
      <w:r w:rsidR="008137FD">
        <w:rPr>
          <w:rFonts w:ascii="Times New Roman" w:hAnsi="Times New Roman" w:cs="Times New Roman"/>
          <w:sz w:val="24"/>
          <w:szCs w:val="24"/>
        </w:rPr>
        <w:t xml:space="preserve"> </w:t>
      </w:r>
      <w:r w:rsidR="009C5C40">
        <w:rPr>
          <w:rFonts w:ascii="Times New Roman" w:hAnsi="Times New Roman" w:cs="Times New Roman"/>
          <w:sz w:val="24"/>
          <w:szCs w:val="24"/>
        </w:rPr>
        <w:t xml:space="preserve">the </w:t>
      </w:r>
      <w:r w:rsidR="00611AD4">
        <w:rPr>
          <w:rFonts w:ascii="Times New Roman" w:hAnsi="Times New Roman" w:cs="Times New Roman"/>
          <w:sz w:val="24"/>
          <w:szCs w:val="24"/>
        </w:rPr>
        <w:t xml:space="preserve">CCPA does not </w:t>
      </w:r>
      <w:r w:rsidR="003C3678">
        <w:rPr>
          <w:rFonts w:ascii="Times New Roman" w:hAnsi="Times New Roman" w:cs="Times New Roman"/>
          <w:sz w:val="24"/>
          <w:szCs w:val="24"/>
        </w:rPr>
        <w:t xml:space="preserve">currently </w:t>
      </w:r>
      <w:r w:rsidR="00611AD4">
        <w:rPr>
          <w:rFonts w:ascii="Times New Roman" w:hAnsi="Times New Roman" w:cs="Times New Roman"/>
          <w:sz w:val="24"/>
          <w:szCs w:val="24"/>
        </w:rPr>
        <w:t>apply to employment</w:t>
      </w:r>
      <w:r w:rsidR="003C3678">
        <w:rPr>
          <w:rFonts w:ascii="Times New Roman" w:hAnsi="Times New Roman" w:cs="Times New Roman"/>
          <w:sz w:val="24"/>
          <w:szCs w:val="24"/>
        </w:rPr>
        <w:t xml:space="preserve"> related personal</w:t>
      </w:r>
      <w:r w:rsidR="00611AD4">
        <w:rPr>
          <w:rFonts w:ascii="Times New Roman" w:hAnsi="Times New Roman" w:cs="Times New Roman"/>
          <w:sz w:val="24"/>
          <w:szCs w:val="24"/>
        </w:rPr>
        <w:t xml:space="preserve"> information collected by employers</w:t>
      </w:r>
      <w:r w:rsidR="009C5C40">
        <w:rPr>
          <w:rFonts w:ascii="Times New Roman" w:hAnsi="Times New Roman" w:cs="Times New Roman"/>
          <w:sz w:val="24"/>
          <w:szCs w:val="24"/>
        </w:rPr>
        <w:t xml:space="preserve"> and it is premature to anticipate any legislative change</w:t>
      </w:r>
      <w:r w:rsidR="00611AD4">
        <w:rPr>
          <w:rFonts w:ascii="Times New Roman" w:hAnsi="Times New Roman" w:cs="Times New Roman"/>
          <w:sz w:val="24"/>
          <w:szCs w:val="24"/>
        </w:rPr>
        <w:t xml:space="preserve">. These subsections </w:t>
      </w:r>
      <w:r w:rsidR="009C5C40">
        <w:rPr>
          <w:rFonts w:ascii="Times New Roman" w:hAnsi="Times New Roman" w:cs="Times New Roman"/>
          <w:sz w:val="24"/>
          <w:szCs w:val="24"/>
        </w:rPr>
        <w:t>would</w:t>
      </w:r>
      <w:r w:rsidR="00611AD4">
        <w:rPr>
          <w:rFonts w:ascii="Times New Roman" w:hAnsi="Times New Roman" w:cs="Times New Roman"/>
          <w:sz w:val="24"/>
          <w:szCs w:val="24"/>
        </w:rPr>
        <w:t xml:space="preserve"> add requirements that are inconsistent with the existing law. We understand that the</w:t>
      </w:r>
      <w:r w:rsidR="009C5C40">
        <w:rPr>
          <w:rFonts w:ascii="Times New Roman" w:hAnsi="Times New Roman" w:cs="Times New Roman"/>
          <w:sz w:val="24"/>
          <w:szCs w:val="24"/>
        </w:rPr>
        <w:t xml:space="preserve"> Agency states th</w:t>
      </w:r>
      <w:r w:rsidR="00393C05">
        <w:rPr>
          <w:rFonts w:ascii="Times New Roman" w:hAnsi="Times New Roman" w:cs="Times New Roman"/>
          <w:sz w:val="24"/>
          <w:szCs w:val="24"/>
        </w:rPr>
        <w:t>is</w:t>
      </w:r>
      <w:r w:rsidR="00611AD4">
        <w:rPr>
          <w:rFonts w:ascii="Times New Roman" w:hAnsi="Times New Roman" w:cs="Times New Roman"/>
          <w:sz w:val="24"/>
          <w:szCs w:val="24"/>
        </w:rPr>
        <w:t xml:space="preserve"> provision </w:t>
      </w:r>
      <w:r w:rsidR="00393C05">
        <w:rPr>
          <w:rFonts w:ascii="Times New Roman" w:hAnsi="Times New Roman" w:cs="Times New Roman"/>
          <w:sz w:val="24"/>
          <w:szCs w:val="24"/>
        </w:rPr>
        <w:t>would</w:t>
      </w:r>
      <w:r w:rsidR="00611AD4">
        <w:rPr>
          <w:rFonts w:ascii="Times New Roman" w:hAnsi="Times New Roman" w:cs="Times New Roman"/>
          <w:sz w:val="24"/>
          <w:szCs w:val="24"/>
        </w:rPr>
        <w:t xml:space="preserve"> sunset if additional </w:t>
      </w:r>
      <w:r w:rsidR="004444B6">
        <w:rPr>
          <w:rFonts w:ascii="Times New Roman" w:hAnsi="Times New Roman" w:cs="Times New Roman"/>
          <w:sz w:val="24"/>
          <w:szCs w:val="24"/>
        </w:rPr>
        <w:t>legislation is not passed</w:t>
      </w:r>
      <w:r w:rsidR="003C3678">
        <w:rPr>
          <w:rFonts w:ascii="Times New Roman" w:hAnsi="Times New Roman" w:cs="Times New Roman"/>
          <w:sz w:val="24"/>
          <w:szCs w:val="24"/>
        </w:rPr>
        <w:t xml:space="preserve">; however, </w:t>
      </w:r>
      <w:r w:rsidR="00393C05">
        <w:rPr>
          <w:rFonts w:ascii="Times New Roman" w:hAnsi="Times New Roman" w:cs="Times New Roman"/>
          <w:sz w:val="24"/>
          <w:szCs w:val="24"/>
        </w:rPr>
        <w:t xml:space="preserve">that approach is antithetical to </w:t>
      </w:r>
      <w:r w:rsidR="007A5052">
        <w:rPr>
          <w:rFonts w:ascii="Times New Roman" w:hAnsi="Times New Roman" w:cs="Times New Roman"/>
          <w:sz w:val="24"/>
          <w:szCs w:val="24"/>
        </w:rPr>
        <w:t>proper</w:t>
      </w:r>
      <w:r w:rsidR="00393C05">
        <w:rPr>
          <w:rFonts w:ascii="Times New Roman" w:hAnsi="Times New Roman" w:cs="Times New Roman"/>
          <w:sz w:val="24"/>
          <w:szCs w:val="24"/>
        </w:rPr>
        <w:t xml:space="preserve"> regulatory process</w:t>
      </w:r>
      <w:r w:rsidR="007A5052">
        <w:rPr>
          <w:rFonts w:ascii="Times New Roman" w:hAnsi="Times New Roman" w:cs="Times New Roman"/>
          <w:sz w:val="24"/>
          <w:szCs w:val="24"/>
        </w:rPr>
        <w:t>, and will cause serious confusion among employers</w:t>
      </w:r>
      <w:r w:rsidR="000167BF">
        <w:rPr>
          <w:rFonts w:ascii="Times New Roman" w:hAnsi="Times New Roman" w:cs="Times New Roman"/>
          <w:sz w:val="24"/>
          <w:szCs w:val="24"/>
        </w:rPr>
        <w:t xml:space="preserve">.  Thus, </w:t>
      </w:r>
      <w:r w:rsidR="004444B6">
        <w:rPr>
          <w:rFonts w:ascii="Times New Roman" w:hAnsi="Times New Roman" w:cs="Times New Roman"/>
          <w:sz w:val="24"/>
          <w:szCs w:val="24"/>
        </w:rPr>
        <w:t xml:space="preserve">this requirement should </w:t>
      </w:r>
      <w:r w:rsidR="000167BF">
        <w:rPr>
          <w:rFonts w:ascii="Times New Roman" w:hAnsi="Times New Roman" w:cs="Times New Roman"/>
          <w:sz w:val="24"/>
          <w:szCs w:val="24"/>
        </w:rPr>
        <w:t xml:space="preserve">not </w:t>
      </w:r>
      <w:r w:rsidR="004444B6">
        <w:rPr>
          <w:rFonts w:ascii="Times New Roman" w:hAnsi="Times New Roman" w:cs="Times New Roman"/>
          <w:sz w:val="24"/>
          <w:szCs w:val="24"/>
        </w:rPr>
        <w:t xml:space="preserve">be included in the Proposed Regulations at this time. </w:t>
      </w:r>
    </w:p>
    <w:p w14:paraId="54AA688C" w14:textId="0B966F7E" w:rsidR="00D018FB" w:rsidRDefault="00D4403F" w:rsidP="00D4403F">
      <w:pPr>
        <w:ind w:firstLine="450"/>
        <w:rPr>
          <w:rFonts w:ascii="Times New Roman" w:hAnsi="Times New Roman" w:cs="Times New Roman"/>
          <w:sz w:val="24"/>
          <w:szCs w:val="24"/>
        </w:rPr>
      </w:pPr>
      <w:r>
        <w:rPr>
          <w:rFonts w:ascii="Times New Roman" w:hAnsi="Times New Roman" w:cs="Times New Roman"/>
          <w:sz w:val="24"/>
          <w:szCs w:val="24"/>
        </w:rPr>
        <w:t xml:space="preserve">Moreover, </w:t>
      </w:r>
      <w:r w:rsidR="00D018FB">
        <w:rPr>
          <w:rFonts w:ascii="Times New Roman" w:hAnsi="Times New Roman" w:cs="Times New Roman"/>
          <w:sz w:val="24"/>
          <w:szCs w:val="24"/>
        </w:rPr>
        <w:t>if a request for access to a test taker’s personal information involves any actual disclosure of the testing organization’s IP, the test taker would not be entitled to access such IP and the business will screen out all such IP from what is made available to test taker.</w:t>
      </w:r>
      <w:r w:rsidR="00F96A0A">
        <w:rPr>
          <w:rStyle w:val="FootnoteReference"/>
          <w:rFonts w:ascii="Times New Roman" w:hAnsi="Times New Roman" w:cs="Times New Roman"/>
          <w:sz w:val="24"/>
          <w:szCs w:val="24"/>
        </w:rPr>
        <w:footnoteReference w:id="12"/>
      </w:r>
      <w:r w:rsidR="00F96A0A">
        <w:t xml:space="preserve">  </w:t>
      </w:r>
      <w:r w:rsidR="00D018FB" w:rsidRPr="00981158">
        <w:rPr>
          <w:rFonts w:ascii="Times New Roman" w:hAnsi="Times New Roman" w:cs="Times New Roman"/>
          <w:sz w:val="24"/>
          <w:szCs w:val="24"/>
          <w:vertAlign w:val="superscript"/>
        </w:rPr>
        <w:t xml:space="preserve"> </w:t>
      </w:r>
      <w:r w:rsidR="00D018FB">
        <w:rPr>
          <w:rFonts w:ascii="Times New Roman" w:hAnsi="Times New Roman" w:cs="Times New Roman"/>
          <w:sz w:val="24"/>
          <w:szCs w:val="24"/>
        </w:rPr>
        <w:t xml:space="preserve">Although we submit that federal patent, trademark, copyright, and trade secret rights are easily understood as potential “conflicts” with a consumer’s right to access, the Proposed Regulations fail to provide any explicit guidance in this area.  To avoid confusion on this important point, </w:t>
      </w:r>
      <w:bookmarkStart w:id="4" w:name="_Hlk111979457"/>
      <w:r w:rsidR="00D018FB">
        <w:rPr>
          <w:rFonts w:ascii="Times New Roman" w:hAnsi="Times New Roman" w:cs="Times New Roman"/>
          <w:sz w:val="24"/>
          <w:szCs w:val="24"/>
        </w:rPr>
        <w:t xml:space="preserve">the ATP recommends that the final regulations should provide details for how a business is permitted to deny some or all of a request when its federal IP rights conflict with the consumer’s </w:t>
      </w:r>
      <w:r w:rsidR="00D018FB" w:rsidRPr="00B00786">
        <w:rPr>
          <w:rFonts w:ascii="Times New Roman" w:hAnsi="Times New Roman" w:cs="Times New Roman"/>
          <w:sz w:val="24"/>
          <w:szCs w:val="24"/>
        </w:rPr>
        <w:t>right to access</w:t>
      </w:r>
      <w:r w:rsidR="00D018FB">
        <w:rPr>
          <w:rFonts w:ascii="Times New Roman" w:hAnsi="Times New Roman" w:cs="Times New Roman"/>
          <w:sz w:val="24"/>
          <w:szCs w:val="24"/>
        </w:rPr>
        <w:t>.</w:t>
      </w:r>
      <w:bookmarkEnd w:id="4"/>
      <w:r w:rsidR="00D018FB" w:rsidRPr="00981158">
        <w:rPr>
          <w:sz w:val="20"/>
          <w:szCs w:val="20"/>
        </w:rPr>
        <w:footnoteReference w:id="13"/>
      </w:r>
      <w:r w:rsidR="00D018FB" w:rsidRPr="00981158">
        <w:rPr>
          <w:rFonts w:ascii="Times New Roman" w:hAnsi="Times New Roman" w:cs="Times New Roman"/>
          <w:vertAlign w:val="superscript"/>
        </w:rPr>
        <w:t xml:space="preserve"> </w:t>
      </w:r>
      <w:r w:rsidR="00F9710D">
        <w:rPr>
          <w:rFonts w:ascii="Times New Roman" w:hAnsi="Times New Roman" w:cs="Times New Roman"/>
          <w:vertAlign w:val="superscript"/>
        </w:rPr>
        <w:t xml:space="preserve"> </w:t>
      </w:r>
      <w:r w:rsidR="00D018FB" w:rsidRPr="00981158">
        <w:rPr>
          <w:rFonts w:ascii="Times New Roman" w:hAnsi="Times New Roman" w:cs="Times New Roman"/>
          <w:sz w:val="24"/>
          <w:szCs w:val="24"/>
        </w:rPr>
        <w:t xml:space="preserve">See </w:t>
      </w:r>
      <w:r w:rsidR="00D018FB">
        <w:rPr>
          <w:rFonts w:ascii="Times New Roman" w:hAnsi="Times New Roman" w:cs="Times New Roman"/>
          <w:sz w:val="24"/>
          <w:szCs w:val="24"/>
        </w:rPr>
        <w:t>discussion of the impact of a testing organization’s IP</w:t>
      </w:r>
      <w:r w:rsidR="00BF4360">
        <w:rPr>
          <w:rFonts w:ascii="Times New Roman" w:hAnsi="Times New Roman" w:cs="Times New Roman"/>
          <w:sz w:val="24"/>
          <w:szCs w:val="24"/>
        </w:rPr>
        <w:t xml:space="preserve"> (</w:t>
      </w:r>
      <w:r w:rsidR="00D018FB" w:rsidRPr="00D4403F">
        <w:rPr>
          <w:rFonts w:ascii="Times New Roman" w:hAnsi="Times New Roman" w:cs="Times New Roman"/>
          <w:i/>
          <w:iCs/>
          <w:sz w:val="24"/>
          <w:szCs w:val="24"/>
        </w:rPr>
        <w:t>supra</w:t>
      </w:r>
      <w:r w:rsidR="00D018FB" w:rsidRPr="00981158">
        <w:rPr>
          <w:rFonts w:ascii="Times New Roman" w:hAnsi="Times New Roman" w:cs="Times New Roman"/>
          <w:sz w:val="24"/>
          <w:szCs w:val="24"/>
        </w:rPr>
        <w:t xml:space="preserve">. </w:t>
      </w:r>
      <w:r w:rsidR="00D018FB">
        <w:rPr>
          <w:rFonts w:ascii="Times New Roman" w:hAnsi="Times New Roman" w:cs="Times New Roman"/>
          <w:sz w:val="24"/>
          <w:szCs w:val="24"/>
        </w:rPr>
        <w:t>at p</w:t>
      </w:r>
      <w:r>
        <w:rPr>
          <w:rFonts w:ascii="Times New Roman" w:hAnsi="Times New Roman" w:cs="Times New Roman"/>
          <w:sz w:val="24"/>
          <w:szCs w:val="24"/>
        </w:rPr>
        <w:t>. 4</w:t>
      </w:r>
      <w:r w:rsidR="00BF4360">
        <w:rPr>
          <w:rFonts w:ascii="Times New Roman" w:hAnsi="Times New Roman" w:cs="Times New Roman"/>
          <w:sz w:val="24"/>
          <w:szCs w:val="24"/>
        </w:rPr>
        <w:t>)</w:t>
      </w:r>
      <w:r>
        <w:rPr>
          <w:rFonts w:ascii="Times New Roman" w:hAnsi="Times New Roman" w:cs="Times New Roman"/>
          <w:sz w:val="24"/>
          <w:szCs w:val="24"/>
        </w:rPr>
        <w:t>.</w:t>
      </w:r>
    </w:p>
    <w:p w14:paraId="73289E24" w14:textId="7F902D19" w:rsidR="00073A28" w:rsidRPr="002F26E8" w:rsidRDefault="00EA53B8" w:rsidP="006D0F69">
      <w:pPr>
        <w:pStyle w:val="ListParagraph"/>
        <w:numPr>
          <w:ilvl w:val="0"/>
          <w:numId w:val="11"/>
        </w:numPr>
        <w:rPr>
          <w:rFonts w:ascii="Times New Roman" w:hAnsi="Times New Roman" w:cs="Times New Roman"/>
          <w:b/>
          <w:bCs/>
          <w:sz w:val="24"/>
          <w:szCs w:val="24"/>
        </w:rPr>
      </w:pPr>
      <w:r w:rsidRPr="002F26E8">
        <w:rPr>
          <w:rFonts w:ascii="Times New Roman" w:hAnsi="Times New Roman" w:cs="Times New Roman"/>
          <w:b/>
          <w:bCs/>
          <w:sz w:val="24"/>
          <w:szCs w:val="24"/>
        </w:rPr>
        <w:t>Notice</w:t>
      </w:r>
      <w:r w:rsidR="002F26E8" w:rsidRPr="002F26E8">
        <w:rPr>
          <w:rFonts w:ascii="Times New Roman" w:hAnsi="Times New Roman" w:cs="Times New Roman"/>
          <w:b/>
          <w:bCs/>
          <w:sz w:val="24"/>
          <w:szCs w:val="24"/>
        </w:rPr>
        <w:t xml:space="preserve"> to “Limit the Use of My Sensitive Personal Information.</w:t>
      </w:r>
      <w:r w:rsidR="001713B9">
        <w:rPr>
          <w:rFonts w:ascii="Times New Roman" w:hAnsi="Times New Roman" w:cs="Times New Roman"/>
          <w:b/>
          <w:bCs/>
          <w:sz w:val="24"/>
          <w:szCs w:val="24"/>
        </w:rPr>
        <w:t>”</w:t>
      </w:r>
    </w:p>
    <w:p w14:paraId="0A54509E" w14:textId="1B090EE6" w:rsidR="00384306" w:rsidRDefault="00CA35AD" w:rsidP="00E36D15">
      <w:pPr>
        <w:ind w:firstLine="450"/>
        <w:rPr>
          <w:rFonts w:ascii="Times New Roman" w:hAnsi="Times New Roman" w:cs="Times New Roman"/>
          <w:sz w:val="24"/>
          <w:szCs w:val="24"/>
        </w:rPr>
      </w:pPr>
      <w:r>
        <w:rPr>
          <w:rFonts w:ascii="Times New Roman" w:hAnsi="Times New Roman" w:cs="Times New Roman"/>
          <w:sz w:val="24"/>
          <w:szCs w:val="24"/>
        </w:rPr>
        <w:t xml:space="preserve">The </w:t>
      </w:r>
      <w:r w:rsidR="001951C8">
        <w:rPr>
          <w:rFonts w:ascii="Times New Roman" w:hAnsi="Times New Roman" w:cs="Times New Roman"/>
          <w:sz w:val="24"/>
          <w:szCs w:val="24"/>
        </w:rPr>
        <w:t xml:space="preserve">ATP </w:t>
      </w:r>
      <w:r w:rsidR="00004345">
        <w:rPr>
          <w:rFonts w:ascii="Times New Roman" w:hAnsi="Times New Roman" w:cs="Times New Roman"/>
          <w:sz w:val="24"/>
          <w:szCs w:val="24"/>
        </w:rPr>
        <w:t>support</w:t>
      </w:r>
      <w:r>
        <w:rPr>
          <w:rFonts w:ascii="Times New Roman" w:hAnsi="Times New Roman" w:cs="Times New Roman"/>
          <w:sz w:val="24"/>
          <w:szCs w:val="24"/>
        </w:rPr>
        <w:t>s</w:t>
      </w:r>
      <w:r w:rsidR="00004345">
        <w:rPr>
          <w:rFonts w:ascii="Times New Roman" w:hAnsi="Times New Roman" w:cs="Times New Roman"/>
          <w:sz w:val="24"/>
          <w:szCs w:val="24"/>
        </w:rPr>
        <w:t xml:space="preserve"> </w:t>
      </w:r>
      <w:r w:rsidR="006306D0">
        <w:rPr>
          <w:rFonts w:ascii="Times New Roman" w:hAnsi="Times New Roman" w:cs="Times New Roman"/>
          <w:sz w:val="24"/>
          <w:szCs w:val="24"/>
        </w:rPr>
        <w:t>the</w:t>
      </w:r>
      <w:r w:rsidR="00200448">
        <w:rPr>
          <w:rFonts w:ascii="Times New Roman" w:hAnsi="Times New Roman" w:cs="Times New Roman"/>
          <w:sz w:val="24"/>
          <w:szCs w:val="24"/>
        </w:rPr>
        <w:t xml:space="preserve"> proposed</w:t>
      </w:r>
      <w:r w:rsidR="006306D0">
        <w:rPr>
          <w:rFonts w:ascii="Times New Roman" w:hAnsi="Times New Roman" w:cs="Times New Roman"/>
          <w:sz w:val="24"/>
          <w:szCs w:val="24"/>
        </w:rPr>
        <w:t xml:space="preserve"> exception </w:t>
      </w:r>
      <w:r w:rsidR="001951C8">
        <w:rPr>
          <w:rFonts w:ascii="Times New Roman" w:hAnsi="Times New Roman" w:cs="Times New Roman"/>
          <w:sz w:val="24"/>
          <w:szCs w:val="24"/>
        </w:rPr>
        <w:t xml:space="preserve">that </w:t>
      </w:r>
      <w:r w:rsidR="00E50ED9">
        <w:rPr>
          <w:rFonts w:ascii="Times New Roman" w:hAnsi="Times New Roman" w:cs="Times New Roman"/>
          <w:sz w:val="24"/>
          <w:szCs w:val="24"/>
        </w:rPr>
        <w:t xml:space="preserve">a </w:t>
      </w:r>
      <w:r w:rsidR="001951C8">
        <w:rPr>
          <w:rFonts w:ascii="Times New Roman" w:hAnsi="Times New Roman" w:cs="Times New Roman"/>
          <w:sz w:val="24"/>
          <w:szCs w:val="24"/>
        </w:rPr>
        <w:t xml:space="preserve">business using sensitive personal information </w:t>
      </w:r>
      <w:r w:rsidR="00E50ED9">
        <w:rPr>
          <w:rFonts w:ascii="Times New Roman" w:hAnsi="Times New Roman" w:cs="Times New Roman"/>
          <w:sz w:val="24"/>
          <w:szCs w:val="24"/>
        </w:rPr>
        <w:t>should not be</w:t>
      </w:r>
      <w:r w:rsidR="001951C8">
        <w:rPr>
          <w:rFonts w:ascii="Times New Roman" w:hAnsi="Times New Roman" w:cs="Times New Roman"/>
          <w:sz w:val="24"/>
          <w:szCs w:val="24"/>
        </w:rPr>
        <w:t xml:space="preserve"> required to provide notice to limit the use of sensitive personal information</w:t>
      </w:r>
      <w:r w:rsidR="00815D3A">
        <w:rPr>
          <w:rFonts w:ascii="Times New Roman" w:hAnsi="Times New Roman" w:cs="Times New Roman"/>
          <w:sz w:val="24"/>
          <w:szCs w:val="24"/>
        </w:rPr>
        <w:t xml:space="preserve"> when </w:t>
      </w:r>
      <w:r w:rsidR="002431B9">
        <w:rPr>
          <w:rFonts w:ascii="Times New Roman" w:hAnsi="Times New Roman" w:cs="Times New Roman"/>
          <w:sz w:val="24"/>
          <w:szCs w:val="24"/>
        </w:rPr>
        <w:t>it has disclosed that su</w:t>
      </w:r>
      <w:r w:rsidR="000F0D4F">
        <w:rPr>
          <w:rFonts w:ascii="Times New Roman" w:hAnsi="Times New Roman" w:cs="Times New Roman"/>
          <w:sz w:val="24"/>
          <w:szCs w:val="24"/>
        </w:rPr>
        <w:t>ch</w:t>
      </w:r>
      <w:r w:rsidR="00B059E5">
        <w:rPr>
          <w:rFonts w:ascii="Times New Roman" w:hAnsi="Times New Roman" w:cs="Times New Roman"/>
          <w:sz w:val="24"/>
          <w:szCs w:val="24"/>
        </w:rPr>
        <w:t xml:space="preserve"> information is only for specific purposes aligned with Section </w:t>
      </w:r>
      <w:r w:rsidR="0028684C">
        <w:rPr>
          <w:rFonts w:ascii="Times New Roman" w:hAnsi="Times New Roman" w:cs="Times New Roman"/>
          <w:sz w:val="24"/>
          <w:szCs w:val="24"/>
        </w:rPr>
        <w:t>7027</w:t>
      </w:r>
      <w:r w:rsidR="00014E66">
        <w:rPr>
          <w:rFonts w:ascii="Times New Roman" w:hAnsi="Times New Roman" w:cs="Times New Roman"/>
          <w:sz w:val="24"/>
          <w:szCs w:val="24"/>
        </w:rPr>
        <w:t xml:space="preserve"> (</w:t>
      </w:r>
      <w:r w:rsidR="00014E66">
        <w:rPr>
          <w:rFonts w:ascii="Times New Roman" w:hAnsi="Times New Roman" w:cs="Times New Roman"/>
          <w:i/>
          <w:iCs/>
          <w:sz w:val="24"/>
          <w:szCs w:val="24"/>
        </w:rPr>
        <w:t xml:space="preserve">see </w:t>
      </w:r>
      <w:r w:rsidR="006A38B5">
        <w:rPr>
          <w:rFonts w:ascii="Times New Roman" w:hAnsi="Times New Roman" w:cs="Times New Roman"/>
          <w:sz w:val="24"/>
          <w:szCs w:val="24"/>
        </w:rPr>
        <w:t xml:space="preserve">Section 10, </w:t>
      </w:r>
      <w:r w:rsidR="006A38B5">
        <w:rPr>
          <w:rFonts w:ascii="Times New Roman" w:hAnsi="Times New Roman" w:cs="Times New Roman"/>
          <w:i/>
          <w:iCs/>
          <w:sz w:val="24"/>
          <w:szCs w:val="24"/>
        </w:rPr>
        <w:t>supra.</w:t>
      </w:r>
      <w:r w:rsidR="006A38B5">
        <w:rPr>
          <w:rFonts w:ascii="Times New Roman" w:hAnsi="Times New Roman" w:cs="Times New Roman"/>
          <w:sz w:val="24"/>
          <w:szCs w:val="24"/>
        </w:rPr>
        <w:t>)</w:t>
      </w:r>
      <w:r w:rsidR="006A38B5">
        <w:rPr>
          <w:rFonts w:ascii="Times New Roman" w:hAnsi="Times New Roman" w:cs="Times New Roman"/>
          <w:i/>
          <w:iCs/>
          <w:sz w:val="24"/>
          <w:szCs w:val="24"/>
        </w:rPr>
        <w:t>.</w:t>
      </w:r>
      <w:r w:rsidR="000F0D4F">
        <w:rPr>
          <w:rFonts w:ascii="Times New Roman" w:hAnsi="Times New Roman" w:cs="Times New Roman"/>
          <w:sz w:val="24"/>
          <w:szCs w:val="24"/>
        </w:rPr>
        <w:t xml:space="preserve"> </w:t>
      </w:r>
      <w:r w:rsidR="001951C8">
        <w:rPr>
          <w:rFonts w:ascii="Times New Roman" w:hAnsi="Times New Roman" w:cs="Times New Roman"/>
          <w:sz w:val="24"/>
          <w:szCs w:val="24"/>
        </w:rPr>
        <w:t xml:space="preserve"> As we have described earlier, </w:t>
      </w:r>
      <w:r w:rsidR="00642C8A">
        <w:rPr>
          <w:rFonts w:ascii="Times New Roman" w:hAnsi="Times New Roman" w:cs="Times New Roman"/>
          <w:sz w:val="24"/>
          <w:szCs w:val="24"/>
        </w:rPr>
        <w:t>many testing organizations</w:t>
      </w:r>
      <w:r w:rsidR="00404A83">
        <w:rPr>
          <w:rFonts w:ascii="Times New Roman" w:hAnsi="Times New Roman" w:cs="Times New Roman"/>
          <w:sz w:val="24"/>
          <w:szCs w:val="24"/>
        </w:rPr>
        <w:t xml:space="preserve"> </w:t>
      </w:r>
      <w:r w:rsidR="00872086">
        <w:rPr>
          <w:rFonts w:ascii="Times New Roman" w:hAnsi="Times New Roman" w:cs="Times New Roman"/>
          <w:sz w:val="24"/>
          <w:szCs w:val="24"/>
        </w:rPr>
        <w:t xml:space="preserve">readily </w:t>
      </w:r>
      <w:r w:rsidR="00404A83">
        <w:rPr>
          <w:rFonts w:ascii="Times New Roman" w:hAnsi="Times New Roman" w:cs="Times New Roman"/>
          <w:sz w:val="24"/>
          <w:szCs w:val="24"/>
        </w:rPr>
        <w:t>disclose</w:t>
      </w:r>
      <w:r w:rsidR="0038486D">
        <w:rPr>
          <w:rFonts w:ascii="Times New Roman" w:hAnsi="Times New Roman" w:cs="Times New Roman"/>
          <w:sz w:val="24"/>
          <w:szCs w:val="24"/>
        </w:rPr>
        <w:t xml:space="preserve"> to every test taker</w:t>
      </w:r>
      <w:r w:rsidR="00404A83">
        <w:rPr>
          <w:rFonts w:ascii="Times New Roman" w:hAnsi="Times New Roman" w:cs="Times New Roman"/>
          <w:sz w:val="24"/>
          <w:szCs w:val="24"/>
        </w:rPr>
        <w:t xml:space="preserve"> </w:t>
      </w:r>
      <w:r w:rsidR="00872086">
        <w:rPr>
          <w:rFonts w:ascii="Times New Roman" w:hAnsi="Times New Roman" w:cs="Times New Roman"/>
          <w:sz w:val="24"/>
          <w:szCs w:val="24"/>
        </w:rPr>
        <w:t xml:space="preserve">that the </w:t>
      </w:r>
      <w:r w:rsidR="001951C8">
        <w:rPr>
          <w:rFonts w:ascii="Times New Roman" w:hAnsi="Times New Roman" w:cs="Times New Roman"/>
          <w:sz w:val="24"/>
          <w:szCs w:val="24"/>
        </w:rPr>
        <w:t>use</w:t>
      </w:r>
      <w:r w:rsidR="0066687F">
        <w:rPr>
          <w:rFonts w:ascii="Times New Roman" w:hAnsi="Times New Roman" w:cs="Times New Roman"/>
          <w:sz w:val="24"/>
          <w:szCs w:val="24"/>
        </w:rPr>
        <w:t xml:space="preserve"> of </w:t>
      </w:r>
      <w:r w:rsidR="001951C8">
        <w:rPr>
          <w:rFonts w:ascii="Times New Roman" w:hAnsi="Times New Roman" w:cs="Times New Roman"/>
          <w:sz w:val="24"/>
          <w:szCs w:val="24"/>
        </w:rPr>
        <w:t xml:space="preserve">sensitive personal information </w:t>
      </w:r>
      <w:r w:rsidR="00872086">
        <w:rPr>
          <w:rFonts w:ascii="Times New Roman" w:hAnsi="Times New Roman" w:cs="Times New Roman"/>
          <w:sz w:val="24"/>
          <w:szCs w:val="24"/>
        </w:rPr>
        <w:t>is</w:t>
      </w:r>
      <w:r w:rsidR="00200448">
        <w:rPr>
          <w:rFonts w:ascii="Times New Roman" w:hAnsi="Times New Roman" w:cs="Times New Roman"/>
          <w:sz w:val="24"/>
          <w:szCs w:val="24"/>
        </w:rPr>
        <w:t xml:space="preserve"> </w:t>
      </w:r>
      <w:r w:rsidR="00955DED">
        <w:rPr>
          <w:rFonts w:ascii="Times New Roman" w:hAnsi="Times New Roman" w:cs="Times New Roman"/>
          <w:sz w:val="24"/>
          <w:szCs w:val="24"/>
        </w:rPr>
        <w:t>fundamental to</w:t>
      </w:r>
      <w:r w:rsidR="00807E64">
        <w:rPr>
          <w:rFonts w:ascii="Times New Roman" w:hAnsi="Times New Roman" w:cs="Times New Roman"/>
          <w:sz w:val="24"/>
          <w:szCs w:val="24"/>
        </w:rPr>
        <w:t xml:space="preserve"> </w:t>
      </w:r>
      <w:r w:rsidR="00200448">
        <w:rPr>
          <w:rFonts w:ascii="Times New Roman" w:hAnsi="Times New Roman" w:cs="Times New Roman"/>
          <w:sz w:val="24"/>
          <w:szCs w:val="24"/>
        </w:rPr>
        <w:t xml:space="preserve">their </w:t>
      </w:r>
      <w:r w:rsidR="00807E64">
        <w:rPr>
          <w:rFonts w:ascii="Times New Roman" w:hAnsi="Times New Roman" w:cs="Times New Roman"/>
          <w:sz w:val="24"/>
          <w:szCs w:val="24"/>
        </w:rPr>
        <w:t xml:space="preserve">provision </w:t>
      </w:r>
      <w:r w:rsidR="00955DED">
        <w:rPr>
          <w:rFonts w:ascii="Times New Roman" w:hAnsi="Times New Roman" w:cs="Times New Roman"/>
          <w:sz w:val="24"/>
          <w:szCs w:val="24"/>
        </w:rPr>
        <w:t xml:space="preserve">of </w:t>
      </w:r>
      <w:r w:rsidR="001951C8">
        <w:rPr>
          <w:rFonts w:ascii="Times New Roman" w:hAnsi="Times New Roman" w:cs="Times New Roman"/>
          <w:sz w:val="24"/>
          <w:szCs w:val="24"/>
        </w:rPr>
        <w:t xml:space="preserve">assessment services and to ensure that the test is fair and valid. </w:t>
      </w:r>
      <w:r w:rsidR="00E36D15">
        <w:rPr>
          <w:rFonts w:ascii="Times New Roman" w:hAnsi="Times New Roman" w:cs="Times New Roman"/>
          <w:sz w:val="24"/>
          <w:szCs w:val="24"/>
        </w:rPr>
        <w:lastRenderedPageBreak/>
        <w:t>Equally important, businesses in the assessment industry are collecting sensitive personal information to provide assessment services which test takers have contracted for (or submitted to contractually), to comply with legal and regulatory requirements, and to ensure fairness and validity to test takers in the performance of testing services.</w:t>
      </w:r>
      <w:r w:rsidR="00E36D15">
        <w:rPr>
          <w:rStyle w:val="FootnoteReference"/>
          <w:rFonts w:ascii="Times New Roman" w:hAnsi="Times New Roman" w:cs="Times New Roman"/>
          <w:sz w:val="24"/>
          <w:szCs w:val="24"/>
        </w:rPr>
        <w:footnoteReference w:id="14"/>
      </w:r>
      <w:r w:rsidR="00E36D15">
        <w:rPr>
          <w:rFonts w:ascii="Times New Roman" w:hAnsi="Times New Roman" w:cs="Times New Roman"/>
          <w:sz w:val="24"/>
          <w:szCs w:val="24"/>
        </w:rPr>
        <w:t xml:space="preserve">  </w:t>
      </w:r>
    </w:p>
    <w:p w14:paraId="343EF013" w14:textId="278683AD" w:rsidR="00E36D15" w:rsidRDefault="00384306" w:rsidP="00E36D15">
      <w:pPr>
        <w:ind w:firstLine="450"/>
        <w:rPr>
          <w:rFonts w:ascii="Times New Roman" w:hAnsi="Times New Roman" w:cs="Times New Roman"/>
          <w:sz w:val="24"/>
          <w:szCs w:val="24"/>
        </w:rPr>
      </w:pPr>
      <w:r>
        <w:rPr>
          <w:rFonts w:ascii="Times New Roman" w:hAnsi="Times New Roman" w:cs="Times New Roman"/>
          <w:sz w:val="24"/>
          <w:szCs w:val="24"/>
        </w:rPr>
        <w:t xml:space="preserve">However, </w:t>
      </w:r>
      <w:r w:rsidR="00BF4360">
        <w:rPr>
          <w:rFonts w:ascii="Times New Roman" w:hAnsi="Times New Roman" w:cs="Times New Roman"/>
          <w:sz w:val="24"/>
          <w:szCs w:val="24"/>
        </w:rPr>
        <w:t xml:space="preserve">for the proposed notice </w:t>
      </w:r>
      <w:r w:rsidR="00D33267">
        <w:rPr>
          <w:rFonts w:ascii="Times New Roman" w:hAnsi="Times New Roman" w:cs="Times New Roman"/>
          <w:sz w:val="24"/>
          <w:szCs w:val="24"/>
        </w:rPr>
        <w:t>in Section 7014,</w:t>
      </w:r>
      <w:r w:rsidR="00BF4360">
        <w:rPr>
          <w:rFonts w:ascii="Times New Roman" w:hAnsi="Times New Roman" w:cs="Times New Roman"/>
          <w:sz w:val="24"/>
          <w:szCs w:val="24"/>
        </w:rPr>
        <w:t xml:space="preserve"> the ATP</w:t>
      </w:r>
      <w:r w:rsidR="003C3678">
        <w:rPr>
          <w:rFonts w:ascii="Times New Roman" w:hAnsi="Times New Roman" w:cs="Times New Roman"/>
          <w:sz w:val="24"/>
          <w:szCs w:val="24"/>
        </w:rPr>
        <w:t xml:space="preserve"> </w:t>
      </w:r>
      <w:r>
        <w:rPr>
          <w:rFonts w:ascii="Times New Roman" w:hAnsi="Times New Roman" w:cs="Times New Roman"/>
          <w:sz w:val="24"/>
          <w:szCs w:val="24"/>
        </w:rPr>
        <w:t>submit</w:t>
      </w:r>
      <w:r w:rsidR="00BF4360">
        <w:rPr>
          <w:rFonts w:ascii="Times New Roman" w:hAnsi="Times New Roman" w:cs="Times New Roman"/>
          <w:sz w:val="24"/>
          <w:szCs w:val="24"/>
        </w:rPr>
        <w:t>s</w:t>
      </w:r>
      <w:r w:rsidR="003C3678">
        <w:rPr>
          <w:rFonts w:ascii="Times New Roman" w:hAnsi="Times New Roman" w:cs="Times New Roman"/>
          <w:sz w:val="24"/>
          <w:szCs w:val="24"/>
        </w:rPr>
        <w:t xml:space="preserve"> </w:t>
      </w:r>
      <w:r w:rsidR="00C76A6A">
        <w:rPr>
          <w:rFonts w:ascii="Times New Roman" w:hAnsi="Times New Roman" w:cs="Times New Roman"/>
          <w:sz w:val="24"/>
          <w:szCs w:val="24"/>
        </w:rPr>
        <w:t xml:space="preserve">that </w:t>
      </w:r>
      <w:r w:rsidR="0038486D">
        <w:rPr>
          <w:rFonts w:ascii="Times New Roman" w:hAnsi="Times New Roman" w:cs="Times New Roman"/>
          <w:sz w:val="24"/>
          <w:szCs w:val="24"/>
        </w:rPr>
        <w:t xml:space="preserve">a </w:t>
      </w:r>
      <w:r w:rsidR="000F7DB8">
        <w:rPr>
          <w:rFonts w:ascii="Times New Roman" w:hAnsi="Times New Roman" w:cs="Times New Roman"/>
          <w:sz w:val="24"/>
          <w:szCs w:val="24"/>
        </w:rPr>
        <w:t>business that</w:t>
      </w:r>
      <w:r w:rsidR="00E36D15">
        <w:rPr>
          <w:rFonts w:ascii="Times New Roman" w:hAnsi="Times New Roman" w:cs="Times New Roman"/>
          <w:sz w:val="24"/>
          <w:szCs w:val="24"/>
        </w:rPr>
        <w:t xml:space="preserve"> is </w:t>
      </w:r>
      <w:r w:rsidR="000F7DB8">
        <w:rPr>
          <w:rFonts w:ascii="Times New Roman" w:hAnsi="Times New Roman" w:cs="Times New Roman"/>
          <w:sz w:val="24"/>
          <w:szCs w:val="24"/>
        </w:rPr>
        <w:t xml:space="preserve">using </w:t>
      </w:r>
      <w:r w:rsidR="00BB2B93">
        <w:rPr>
          <w:rFonts w:ascii="Times New Roman" w:hAnsi="Times New Roman" w:cs="Times New Roman"/>
          <w:sz w:val="24"/>
          <w:szCs w:val="24"/>
        </w:rPr>
        <w:t xml:space="preserve">sensitive personal information consistent with Section </w:t>
      </w:r>
      <w:r w:rsidR="006800BA">
        <w:rPr>
          <w:rFonts w:ascii="Times New Roman" w:hAnsi="Times New Roman" w:cs="Times New Roman"/>
          <w:sz w:val="24"/>
          <w:szCs w:val="24"/>
        </w:rPr>
        <w:t xml:space="preserve">7027 should NOT be required to </w:t>
      </w:r>
      <w:r w:rsidR="0028684C">
        <w:rPr>
          <w:rFonts w:ascii="Times New Roman" w:hAnsi="Times New Roman" w:cs="Times New Roman"/>
          <w:sz w:val="24"/>
          <w:szCs w:val="24"/>
        </w:rPr>
        <w:t xml:space="preserve">repeat the </w:t>
      </w:r>
      <w:r w:rsidR="006800BA">
        <w:rPr>
          <w:rFonts w:ascii="Times New Roman" w:hAnsi="Times New Roman" w:cs="Times New Roman"/>
          <w:sz w:val="24"/>
          <w:szCs w:val="24"/>
        </w:rPr>
        <w:t>statements in their privacy policies</w:t>
      </w:r>
      <w:r w:rsidR="001D22C9">
        <w:rPr>
          <w:rFonts w:ascii="Times New Roman" w:hAnsi="Times New Roman" w:cs="Times New Roman"/>
          <w:sz w:val="24"/>
          <w:szCs w:val="24"/>
        </w:rPr>
        <w:t xml:space="preserve"> a second time</w:t>
      </w:r>
      <w:r w:rsidR="008E53B7">
        <w:rPr>
          <w:rFonts w:ascii="Times New Roman" w:hAnsi="Times New Roman" w:cs="Times New Roman"/>
          <w:sz w:val="24"/>
          <w:szCs w:val="24"/>
        </w:rPr>
        <w:t xml:space="preserve"> – t</w:t>
      </w:r>
      <w:r w:rsidR="006800BA">
        <w:rPr>
          <w:rFonts w:ascii="Times New Roman" w:hAnsi="Times New Roman" w:cs="Times New Roman"/>
          <w:sz w:val="24"/>
          <w:szCs w:val="24"/>
        </w:rPr>
        <w:t>he consumer</w:t>
      </w:r>
      <w:r w:rsidR="00FD306E">
        <w:rPr>
          <w:rFonts w:ascii="Times New Roman" w:hAnsi="Times New Roman" w:cs="Times New Roman"/>
          <w:sz w:val="24"/>
          <w:szCs w:val="24"/>
        </w:rPr>
        <w:t>/test taker</w:t>
      </w:r>
      <w:r w:rsidR="006800BA">
        <w:rPr>
          <w:rFonts w:ascii="Times New Roman" w:hAnsi="Times New Roman" w:cs="Times New Roman"/>
          <w:sz w:val="24"/>
          <w:szCs w:val="24"/>
        </w:rPr>
        <w:t xml:space="preserve"> engaging with</w:t>
      </w:r>
      <w:r w:rsidR="00FD306E">
        <w:rPr>
          <w:rFonts w:ascii="Times New Roman" w:hAnsi="Times New Roman" w:cs="Times New Roman"/>
          <w:sz w:val="24"/>
          <w:szCs w:val="24"/>
        </w:rPr>
        <w:t xml:space="preserve"> a testing organization</w:t>
      </w:r>
      <w:r w:rsidR="006800BA">
        <w:rPr>
          <w:rFonts w:ascii="Times New Roman" w:hAnsi="Times New Roman" w:cs="Times New Roman"/>
          <w:sz w:val="24"/>
          <w:szCs w:val="24"/>
        </w:rPr>
        <w:t xml:space="preserve"> </w:t>
      </w:r>
      <w:r w:rsidR="00D708A7">
        <w:rPr>
          <w:rFonts w:ascii="Times New Roman" w:hAnsi="Times New Roman" w:cs="Times New Roman"/>
          <w:sz w:val="24"/>
          <w:szCs w:val="24"/>
        </w:rPr>
        <w:t xml:space="preserve">can readily read and </w:t>
      </w:r>
      <w:r w:rsidR="006800BA">
        <w:rPr>
          <w:rFonts w:ascii="Times New Roman" w:hAnsi="Times New Roman" w:cs="Times New Roman"/>
          <w:sz w:val="24"/>
          <w:szCs w:val="24"/>
        </w:rPr>
        <w:t xml:space="preserve">understand </w:t>
      </w:r>
      <w:r w:rsidR="00D708A7">
        <w:rPr>
          <w:rFonts w:ascii="Times New Roman" w:hAnsi="Times New Roman" w:cs="Times New Roman"/>
          <w:sz w:val="24"/>
          <w:szCs w:val="24"/>
        </w:rPr>
        <w:t>the “specific purposes” laid out in</w:t>
      </w:r>
      <w:r w:rsidR="006800BA">
        <w:rPr>
          <w:rFonts w:ascii="Times New Roman" w:hAnsi="Times New Roman" w:cs="Times New Roman"/>
          <w:sz w:val="24"/>
          <w:szCs w:val="24"/>
        </w:rPr>
        <w:t xml:space="preserve"> the privacy policy </w:t>
      </w:r>
      <w:r w:rsidR="008B107F">
        <w:rPr>
          <w:rFonts w:ascii="Times New Roman" w:hAnsi="Times New Roman" w:cs="Times New Roman"/>
          <w:sz w:val="24"/>
          <w:szCs w:val="24"/>
        </w:rPr>
        <w:t>for the permitted</w:t>
      </w:r>
      <w:r w:rsidR="006800BA">
        <w:rPr>
          <w:rFonts w:ascii="Times New Roman" w:hAnsi="Times New Roman" w:cs="Times New Roman"/>
          <w:sz w:val="24"/>
          <w:szCs w:val="24"/>
        </w:rPr>
        <w:t xml:space="preserve"> purposes </w:t>
      </w:r>
      <w:r w:rsidR="007822F4">
        <w:rPr>
          <w:rFonts w:ascii="Times New Roman" w:hAnsi="Times New Roman" w:cs="Times New Roman"/>
          <w:sz w:val="24"/>
          <w:szCs w:val="24"/>
        </w:rPr>
        <w:t>for</w:t>
      </w:r>
      <w:r w:rsidR="006800BA">
        <w:rPr>
          <w:rFonts w:ascii="Times New Roman" w:hAnsi="Times New Roman" w:cs="Times New Roman"/>
          <w:sz w:val="24"/>
          <w:szCs w:val="24"/>
        </w:rPr>
        <w:t xml:space="preserve"> collection</w:t>
      </w:r>
      <w:r w:rsidR="00A03E8E">
        <w:rPr>
          <w:rFonts w:ascii="Times New Roman" w:hAnsi="Times New Roman" w:cs="Times New Roman"/>
          <w:sz w:val="24"/>
          <w:szCs w:val="24"/>
        </w:rPr>
        <w:t xml:space="preserve"> (and not for any purposes other than those in Section 7027)</w:t>
      </w:r>
      <w:r w:rsidR="007D44BF">
        <w:rPr>
          <w:rFonts w:ascii="Times New Roman" w:hAnsi="Times New Roman" w:cs="Times New Roman"/>
          <w:sz w:val="24"/>
          <w:szCs w:val="24"/>
        </w:rPr>
        <w:t>, as des</w:t>
      </w:r>
      <w:r w:rsidR="00417AF2">
        <w:rPr>
          <w:rFonts w:ascii="Times New Roman" w:hAnsi="Times New Roman" w:cs="Times New Roman"/>
          <w:sz w:val="24"/>
          <w:szCs w:val="24"/>
        </w:rPr>
        <w:t>cribed above</w:t>
      </w:r>
      <w:r w:rsidR="00BF4360">
        <w:rPr>
          <w:rFonts w:ascii="Times New Roman" w:hAnsi="Times New Roman" w:cs="Times New Roman"/>
          <w:sz w:val="24"/>
          <w:szCs w:val="24"/>
        </w:rPr>
        <w:t xml:space="preserve"> (</w:t>
      </w:r>
      <w:r w:rsidR="00417AF2" w:rsidRPr="00981158">
        <w:rPr>
          <w:rFonts w:ascii="Times New Roman" w:hAnsi="Times New Roman" w:cs="Times New Roman"/>
          <w:i/>
          <w:iCs/>
          <w:sz w:val="24"/>
          <w:szCs w:val="24"/>
        </w:rPr>
        <w:t>supra</w:t>
      </w:r>
      <w:r w:rsidR="00BF4360">
        <w:rPr>
          <w:rFonts w:ascii="Times New Roman" w:hAnsi="Times New Roman" w:cs="Times New Roman"/>
          <w:i/>
          <w:iCs/>
          <w:sz w:val="24"/>
          <w:szCs w:val="24"/>
        </w:rPr>
        <w:t>.</w:t>
      </w:r>
      <w:r w:rsidR="00417AF2">
        <w:rPr>
          <w:rFonts w:ascii="Times New Roman" w:hAnsi="Times New Roman" w:cs="Times New Roman"/>
          <w:sz w:val="24"/>
          <w:szCs w:val="24"/>
        </w:rPr>
        <w:t xml:space="preserve"> </w:t>
      </w:r>
      <w:r w:rsidR="00BF4360">
        <w:rPr>
          <w:rFonts w:ascii="Times New Roman" w:hAnsi="Times New Roman" w:cs="Times New Roman"/>
          <w:sz w:val="24"/>
          <w:szCs w:val="24"/>
        </w:rPr>
        <w:t>a</w:t>
      </w:r>
      <w:r w:rsidR="00417AF2">
        <w:rPr>
          <w:rFonts w:ascii="Times New Roman" w:hAnsi="Times New Roman" w:cs="Times New Roman"/>
          <w:sz w:val="24"/>
          <w:szCs w:val="24"/>
        </w:rPr>
        <w:t>t</w:t>
      </w:r>
      <w:r w:rsidR="00BF4360">
        <w:rPr>
          <w:rFonts w:ascii="Times New Roman" w:hAnsi="Times New Roman" w:cs="Times New Roman"/>
          <w:sz w:val="24"/>
          <w:szCs w:val="24"/>
        </w:rPr>
        <w:t xml:space="preserve"> </w:t>
      </w:r>
      <w:r w:rsidR="00417AF2">
        <w:rPr>
          <w:rFonts w:ascii="Times New Roman" w:hAnsi="Times New Roman" w:cs="Times New Roman"/>
          <w:sz w:val="24"/>
          <w:szCs w:val="24"/>
        </w:rPr>
        <w:t>p. 9</w:t>
      </w:r>
      <w:r w:rsidR="00BF4360">
        <w:rPr>
          <w:rFonts w:ascii="Times New Roman" w:hAnsi="Times New Roman" w:cs="Times New Roman"/>
          <w:sz w:val="24"/>
          <w:szCs w:val="24"/>
        </w:rPr>
        <w:t>, Comment 6)</w:t>
      </w:r>
      <w:r w:rsidR="00417AF2">
        <w:rPr>
          <w:rFonts w:ascii="Times New Roman" w:hAnsi="Times New Roman" w:cs="Times New Roman"/>
          <w:sz w:val="24"/>
          <w:szCs w:val="24"/>
        </w:rPr>
        <w:t>.</w:t>
      </w:r>
      <w:r w:rsidR="00BF4360">
        <w:rPr>
          <w:rFonts w:ascii="Times New Roman" w:hAnsi="Times New Roman" w:cs="Times New Roman"/>
          <w:sz w:val="24"/>
          <w:szCs w:val="24"/>
        </w:rPr>
        <w:t xml:space="preserve"> </w:t>
      </w:r>
      <w:r w:rsidR="007822F4">
        <w:rPr>
          <w:rFonts w:ascii="Times New Roman" w:hAnsi="Times New Roman" w:cs="Times New Roman"/>
          <w:sz w:val="24"/>
          <w:szCs w:val="24"/>
        </w:rPr>
        <w:t xml:space="preserve">Thus, </w:t>
      </w:r>
      <w:r w:rsidR="006800BA">
        <w:rPr>
          <w:rFonts w:ascii="Times New Roman" w:hAnsi="Times New Roman" w:cs="Times New Roman"/>
          <w:sz w:val="24"/>
          <w:szCs w:val="24"/>
        </w:rPr>
        <w:t xml:space="preserve">this additional requirement </w:t>
      </w:r>
      <w:r w:rsidR="00167773">
        <w:rPr>
          <w:rFonts w:ascii="Times New Roman" w:hAnsi="Times New Roman" w:cs="Times New Roman"/>
          <w:sz w:val="24"/>
          <w:szCs w:val="24"/>
        </w:rPr>
        <w:t xml:space="preserve">is </w:t>
      </w:r>
      <w:r w:rsidR="006800BA">
        <w:rPr>
          <w:rFonts w:ascii="Times New Roman" w:hAnsi="Times New Roman" w:cs="Times New Roman"/>
          <w:sz w:val="24"/>
          <w:szCs w:val="24"/>
        </w:rPr>
        <w:t xml:space="preserve">repetitive and </w:t>
      </w:r>
      <w:r w:rsidR="007822F4">
        <w:rPr>
          <w:rFonts w:ascii="Times New Roman" w:hAnsi="Times New Roman" w:cs="Times New Roman"/>
          <w:sz w:val="24"/>
          <w:szCs w:val="24"/>
        </w:rPr>
        <w:t>un</w:t>
      </w:r>
      <w:r w:rsidR="006800BA">
        <w:rPr>
          <w:rFonts w:ascii="Times New Roman" w:hAnsi="Times New Roman" w:cs="Times New Roman"/>
          <w:sz w:val="24"/>
          <w:szCs w:val="24"/>
        </w:rPr>
        <w:t xml:space="preserve">necessary. </w:t>
      </w:r>
    </w:p>
    <w:p w14:paraId="612774E7" w14:textId="52168348" w:rsidR="00BA7291" w:rsidRPr="00C76A6A" w:rsidRDefault="000A3570" w:rsidP="00C76A6A">
      <w:pPr>
        <w:pStyle w:val="ListParagraph"/>
        <w:numPr>
          <w:ilvl w:val="0"/>
          <w:numId w:val="11"/>
        </w:numPr>
        <w:rPr>
          <w:rFonts w:ascii="Times New Roman" w:hAnsi="Times New Roman" w:cs="Times New Roman"/>
          <w:b/>
          <w:bCs/>
          <w:sz w:val="24"/>
          <w:szCs w:val="24"/>
        </w:rPr>
      </w:pPr>
      <w:r w:rsidRPr="00C76A6A">
        <w:rPr>
          <w:rFonts w:ascii="Times New Roman" w:hAnsi="Times New Roman" w:cs="Times New Roman"/>
          <w:b/>
          <w:bCs/>
          <w:sz w:val="24"/>
          <w:szCs w:val="24"/>
        </w:rPr>
        <w:t xml:space="preserve">Business Practices for Handling Consumer </w:t>
      </w:r>
      <w:r w:rsidR="00492765" w:rsidRPr="00C76A6A">
        <w:rPr>
          <w:rFonts w:ascii="Times New Roman" w:hAnsi="Times New Roman" w:cs="Times New Roman"/>
          <w:b/>
          <w:bCs/>
          <w:sz w:val="24"/>
          <w:szCs w:val="24"/>
        </w:rPr>
        <w:t>Requests</w:t>
      </w:r>
    </w:p>
    <w:p w14:paraId="3E14F2D6" w14:textId="4119EF23" w:rsidR="000A3570" w:rsidRPr="005661C8" w:rsidRDefault="005661C8" w:rsidP="005661C8">
      <w:pPr>
        <w:rPr>
          <w:rFonts w:ascii="Times New Roman" w:hAnsi="Times New Roman" w:cs="Times New Roman"/>
          <w:sz w:val="24"/>
          <w:szCs w:val="24"/>
        </w:rPr>
      </w:pPr>
      <w:r>
        <w:rPr>
          <w:rFonts w:ascii="Times New Roman" w:hAnsi="Times New Roman" w:cs="Times New Roman"/>
          <w:sz w:val="24"/>
          <w:szCs w:val="24"/>
        </w:rPr>
        <w:t xml:space="preserve">a). </w:t>
      </w:r>
      <w:r w:rsidR="000A3570" w:rsidRPr="005661C8">
        <w:rPr>
          <w:rFonts w:ascii="Times New Roman" w:hAnsi="Times New Roman" w:cs="Times New Roman"/>
          <w:sz w:val="24"/>
          <w:szCs w:val="24"/>
        </w:rPr>
        <w:t xml:space="preserve">Although </w:t>
      </w:r>
      <w:r w:rsidR="00B15F0D" w:rsidRPr="005661C8">
        <w:rPr>
          <w:rFonts w:ascii="Times New Roman" w:hAnsi="Times New Roman" w:cs="Times New Roman"/>
          <w:sz w:val="24"/>
          <w:szCs w:val="24"/>
        </w:rPr>
        <w:t xml:space="preserve">the </w:t>
      </w:r>
      <w:r w:rsidR="000A3570" w:rsidRPr="005661C8">
        <w:rPr>
          <w:rFonts w:ascii="Times New Roman" w:hAnsi="Times New Roman" w:cs="Times New Roman"/>
          <w:sz w:val="24"/>
          <w:szCs w:val="24"/>
        </w:rPr>
        <w:t xml:space="preserve">ATP understands and appreciates the Agency’s efforts to </w:t>
      </w:r>
      <w:r w:rsidR="000A7FA0" w:rsidRPr="005661C8">
        <w:rPr>
          <w:rFonts w:ascii="Times New Roman" w:hAnsi="Times New Roman" w:cs="Times New Roman"/>
          <w:sz w:val="24"/>
          <w:szCs w:val="24"/>
        </w:rPr>
        <w:t xml:space="preserve">help businesses </w:t>
      </w:r>
      <w:r w:rsidR="00410C56" w:rsidRPr="005661C8">
        <w:rPr>
          <w:rFonts w:ascii="Times New Roman" w:hAnsi="Times New Roman" w:cs="Times New Roman"/>
          <w:sz w:val="24"/>
          <w:szCs w:val="24"/>
        </w:rPr>
        <w:t xml:space="preserve">operationalize consumer requests, we believe </w:t>
      </w:r>
      <w:r w:rsidR="00F92DCE">
        <w:rPr>
          <w:rFonts w:ascii="Times New Roman" w:hAnsi="Times New Roman" w:cs="Times New Roman"/>
          <w:sz w:val="24"/>
          <w:szCs w:val="24"/>
        </w:rPr>
        <w:t>a nu</w:t>
      </w:r>
      <w:r w:rsidR="00CB2881">
        <w:rPr>
          <w:rFonts w:ascii="Times New Roman" w:hAnsi="Times New Roman" w:cs="Times New Roman"/>
          <w:sz w:val="24"/>
          <w:szCs w:val="24"/>
        </w:rPr>
        <w:t xml:space="preserve">mber of the </w:t>
      </w:r>
      <w:r w:rsidR="0008551A" w:rsidRPr="005661C8">
        <w:rPr>
          <w:rFonts w:ascii="Times New Roman" w:hAnsi="Times New Roman" w:cs="Times New Roman"/>
          <w:sz w:val="24"/>
          <w:szCs w:val="24"/>
        </w:rPr>
        <w:t xml:space="preserve">proposals to amend </w:t>
      </w:r>
      <w:r w:rsidR="00410C56" w:rsidRPr="005661C8">
        <w:rPr>
          <w:rFonts w:ascii="Times New Roman" w:hAnsi="Times New Roman" w:cs="Times New Roman"/>
          <w:sz w:val="24"/>
          <w:szCs w:val="24"/>
        </w:rPr>
        <w:t xml:space="preserve">Article 3, Sections 7020-7028 </w:t>
      </w:r>
      <w:r w:rsidR="0008551A" w:rsidRPr="005661C8">
        <w:rPr>
          <w:rFonts w:ascii="Times New Roman" w:hAnsi="Times New Roman" w:cs="Times New Roman"/>
          <w:sz w:val="24"/>
          <w:szCs w:val="24"/>
        </w:rPr>
        <w:t xml:space="preserve">would </w:t>
      </w:r>
      <w:r w:rsidR="00410C56" w:rsidRPr="005661C8">
        <w:rPr>
          <w:rFonts w:ascii="Times New Roman" w:hAnsi="Times New Roman" w:cs="Times New Roman"/>
          <w:sz w:val="24"/>
          <w:szCs w:val="24"/>
        </w:rPr>
        <w:t xml:space="preserve">add </w:t>
      </w:r>
      <w:r w:rsidR="0008551A" w:rsidRPr="005661C8">
        <w:rPr>
          <w:rFonts w:ascii="Times New Roman" w:hAnsi="Times New Roman" w:cs="Times New Roman"/>
          <w:sz w:val="24"/>
          <w:szCs w:val="24"/>
        </w:rPr>
        <w:t xml:space="preserve">significant </w:t>
      </w:r>
      <w:r w:rsidR="00410C56" w:rsidRPr="005661C8">
        <w:rPr>
          <w:rFonts w:ascii="Times New Roman" w:hAnsi="Times New Roman" w:cs="Times New Roman"/>
          <w:sz w:val="24"/>
          <w:szCs w:val="24"/>
        </w:rPr>
        <w:t xml:space="preserve">unnecessary </w:t>
      </w:r>
      <w:r w:rsidR="000A7FA0" w:rsidRPr="005661C8">
        <w:rPr>
          <w:rFonts w:ascii="Times New Roman" w:hAnsi="Times New Roman" w:cs="Times New Roman"/>
          <w:sz w:val="24"/>
          <w:szCs w:val="24"/>
        </w:rPr>
        <w:t>complexity and confusion for businesses and consumers alike.</w:t>
      </w:r>
      <w:r w:rsidR="00F27565" w:rsidRPr="005661C8">
        <w:rPr>
          <w:rFonts w:ascii="Times New Roman" w:hAnsi="Times New Roman" w:cs="Times New Roman"/>
          <w:sz w:val="24"/>
          <w:szCs w:val="24"/>
        </w:rPr>
        <w:t xml:space="preserve"> In the </w:t>
      </w:r>
      <w:r w:rsidR="00B15F0D" w:rsidRPr="005661C8">
        <w:rPr>
          <w:rFonts w:ascii="Times New Roman" w:hAnsi="Times New Roman" w:cs="Times New Roman"/>
          <w:sz w:val="24"/>
          <w:szCs w:val="24"/>
        </w:rPr>
        <w:t>assessment</w:t>
      </w:r>
      <w:r w:rsidR="00F27565" w:rsidRPr="005661C8">
        <w:rPr>
          <w:rFonts w:ascii="Times New Roman" w:hAnsi="Times New Roman" w:cs="Times New Roman"/>
          <w:sz w:val="24"/>
          <w:szCs w:val="24"/>
        </w:rPr>
        <w:t xml:space="preserve"> industry</w:t>
      </w:r>
      <w:r w:rsidR="00B15F0D" w:rsidRPr="005661C8">
        <w:rPr>
          <w:rFonts w:ascii="Times New Roman" w:hAnsi="Times New Roman" w:cs="Times New Roman"/>
          <w:sz w:val="24"/>
          <w:szCs w:val="24"/>
        </w:rPr>
        <w:t>,</w:t>
      </w:r>
      <w:r w:rsidR="00F27565" w:rsidRPr="005661C8">
        <w:rPr>
          <w:rFonts w:ascii="Times New Roman" w:hAnsi="Times New Roman" w:cs="Times New Roman"/>
          <w:sz w:val="24"/>
          <w:szCs w:val="24"/>
        </w:rPr>
        <w:t xml:space="preserve"> as described above</w:t>
      </w:r>
      <w:r w:rsidR="00A00061" w:rsidRPr="005661C8">
        <w:rPr>
          <w:rFonts w:ascii="Times New Roman" w:hAnsi="Times New Roman" w:cs="Times New Roman"/>
          <w:sz w:val="24"/>
          <w:szCs w:val="24"/>
        </w:rPr>
        <w:t xml:space="preserve"> </w:t>
      </w:r>
      <w:r w:rsidR="00A00061" w:rsidRPr="005661C8">
        <w:rPr>
          <w:rFonts w:ascii="Times New Roman" w:hAnsi="Times New Roman" w:cs="Times New Roman"/>
          <w:i/>
          <w:iCs/>
          <w:sz w:val="24"/>
          <w:szCs w:val="24"/>
        </w:rPr>
        <w:t xml:space="preserve">supra, </w:t>
      </w:r>
      <w:r w:rsidR="00A00061" w:rsidRPr="007A4A80">
        <w:rPr>
          <w:rFonts w:ascii="Times New Roman" w:hAnsi="Times New Roman" w:cs="Times New Roman"/>
          <w:sz w:val="24"/>
          <w:szCs w:val="24"/>
        </w:rPr>
        <w:t xml:space="preserve">at </w:t>
      </w:r>
      <w:r w:rsidR="00980688">
        <w:rPr>
          <w:rFonts w:ascii="Times New Roman" w:hAnsi="Times New Roman" w:cs="Times New Roman"/>
          <w:sz w:val="24"/>
          <w:szCs w:val="24"/>
        </w:rPr>
        <w:t>pp. 4-5,</w:t>
      </w:r>
      <w:r w:rsidR="007F26E0" w:rsidRPr="005661C8">
        <w:rPr>
          <w:rFonts w:ascii="Times New Roman" w:hAnsi="Times New Roman" w:cs="Times New Roman"/>
          <w:sz w:val="24"/>
          <w:szCs w:val="24"/>
        </w:rPr>
        <w:t xml:space="preserve"> </w:t>
      </w:r>
      <w:r w:rsidR="00177266" w:rsidRPr="005661C8">
        <w:rPr>
          <w:rFonts w:ascii="Times New Roman" w:hAnsi="Times New Roman" w:cs="Times New Roman"/>
          <w:sz w:val="24"/>
          <w:szCs w:val="24"/>
        </w:rPr>
        <w:t xml:space="preserve">a </w:t>
      </w:r>
      <w:r w:rsidR="00F27565" w:rsidRPr="005661C8">
        <w:rPr>
          <w:rFonts w:ascii="Times New Roman" w:hAnsi="Times New Roman" w:cs="Times New Roman"/>
          <w:sz w:val="24"/>
          <w:szCs w:val="24"/>
        </w:rPr>
        <w:t xml:space="preserve">service provider in many instances is the first point of contact for a consumer when and if CCPA </w:t>
      </w:r>
      <w:r w:rsidR="00243255" w:rsidRPr="005661C8">
        <w:rPr>
          <w:rFonts w:ascii="Times New Roman" w:hAnsi="Times New Roman" w:cs="Times New Roman"/>
          <w:sz w:val="24"/>
          <w:szCs w:val="24"/>
        </w:rPr>
        <w:t xml:space="preserve">and the CPRA amendments are </w:t>
      </w:r>
      <w:r w:rsidR="00F27565" w:rsidRPr="005661C8">
        <w:rPr>
          <w:rFonts w:ascii="Times New Roman" w:hAnsi="Times New Roman" w:cs="Times New Roman"/>
          <w:sz w:val="24"/>
          <w:szCs w:val="24"/>
        </w:rPr>
        <w:t xml:space="preserve">applicable. </w:t>
      </w:r>
      <w:r w:rsidR="00177266" w:rsidRPr="005661C8">
        <w:rPr>
          <w:rFonts w:ascii="Times New Roman" w:hAnsi="Times New Roman" w:cs="Times New Roman"/>
          <w:sz w:val="24"/>
          <w:szCs w:val="24"/>
        </w:rPr>
        <w:t xml:space="preserve"> Thus, it</w:t>
      </w:r>
      <w:r w:rsidR="00377BAF" w:rsidRPr="005661C8">
        <w:rPr>
          <w:rFonts w:ascii="Times New Roman" w:hAnsi="Times New Roman" w:cs="Times New Roman"/>
          <w:sz w:val="24"/>
          <w:szCs w:val="24"/>
        </w:rPr>
        <w:t xml:space="preserve"> is critical to recognize that in the assessment industry, </w:t>
      </w:r>
      <w:r w:rsidR="0072276D" w:rsidRPr="005661C8">
        <w:rPr>
          <w:rFonts w:ascii="Times New Roman" w:hAnsi="Times New Roman" w:cs="Times New Roman"/>
          <w:sz w:val="24"/>
          <w:szCs w:val="24"/>
        </w:rPr>
        <w:t xml:space="preserve">where </w:t>
      </w:r>
      <w:r w:rsidR="00363C81" w:rsidRPr="005661C8">
        <w:rPr>
          <w:rFonts w:ascii="Times New Roman" w:hAnsi="Times New Roman" w:cs="Times New Roman"/>
          <w:sz w:val="24"/>
          <w:szCs w:val="24"/>
        </w:rPr>
        <w:t>a</w:t>
      </w:r>
      <w:r w:rsidR="000B6069" w:rsidRPr="005661C8">
        <w:rPr>
          <w:rFonts w:ascii="Times New Roman" w:hAnsi="Times New Roman" w:cs="Times New Roman"/>
          <w:sz w:val="24"/>
          <w:szCs w:val="24"/>
        </w:rPr>
        <w:t xml:space="preserve"> tes</w:t>
      </w:r>
      <w:r w:rsidR="0064449B" w:rsidRPr="005661C8">
        <w:rPr>
          <w:rFonts w:ascii="Times New Roman" w:hAnsi="Times New Roman" w:cs="Times New Roman"/>
          <w:sz w:val="24"/>
          <w:szCs w:val="24"/>
        </w:rPr>
        <w:t xml:space="preserve">ting organization often </w:t>
      </w:r>
      <w:r w:rsidR="00377BAF" w:rsidRPr="005661C8">
        <w:rPr>
          <w:rFonts w:ascii="Times New Roman" w:hAnsi="Times New Roman" w:cs="Times New Roman"/>
          <w:sz w:val="24"/>
          <w:szCs w:val="24"/>
        </w:rPr>
        <w:t>use</w:t>
      </w:r>
      <w:r w:rsidR="0064449B" w:rsidRPr="005661C8">
        <w:rPr>
          <w:rFonts w:ascii="Times New Roman" w:hAnsi="Times New Roman" w:cs="Times New Roman"/>
          <w:sz w:val="24"/>
          <w:szCs w:val="24"/>
        </w:rPr>
        <w:t>s</w:t>
      </w:r>
      <w:r w:rsidR="00377BAF" w:rsidRPr="005661C8">
        <w:rPr>
          <w:rFonts w:ascii="Times New Roman" w:hAnsi="Times New Roman" w:cs="Times New Roman"/>
          <w:sz w:val="24"/>
          <w:szCs w:val="24"/>
        </w:rPr>
        <w:t xml:space="preserve"> </w:t>
      </w:r>
      <w:r w:rsidR="00BD571D" w:rsidRPr="005661C8">
        <w:rPr>
          <w:rFonts w:ascii="Times New Roman" w:hAnsi="Times New Roman" w:cs="Times New Roman"/>
          <w:sz w:val="24"/>
          <w:szCs w:val="24"/>
        </w:rPr>
        <w:t xml:space="preserve">one or multiple service providers, the data controller must </w:t>
      </w:r>
      <w:r w:rsidR="00363C81" w:rsidRPr="005661C8">
        <w:rPr>
          <w:rFonts w:ascii="Times New Roman" w:hAnsi="Times New Roman" w:cs="Times New Roman"/>
          <w:sz w:val="24"/>
          <w:szCs w:val="24"/>
        </w:rPr>
        <w:t>provide a clear</w:t>
      </w:r>
      <w:r w:rsidR="00BD571D" w:rsidRPr="005661C8">
        <w:rPr>
          <w:rFonts w:ascii="Times New Roman" w:hAnsi="Times New Roman" w:cs="Times New Roman"/>
          <w:sz w:val="24"/>
          <w:szCs w:val="24"/>
        </w:rPr>
        <w:t xml:space="preserve"> delegation of responsibility for compliance, including for handling consumer requests</w:t>
      </w:r>
      <w:r w:rsidR="00752EE3" w:rsidRPr="005661C8">
        <w:rPr>
          <w:rFonts w:ascii="Times New Roman" w:hAnsi="Times New Roman" w:cs="Times New Roman"/>
          <w:sz w:val="24"/>
          <w:szCs w:val="24"/>
        </w:rPr>
        <w:t>; however, the ATP strongly</w:t>
      </w:r>
      <w:r w:rsidR="0072276D" w:rsidRPr="005661C8">
        <w:rPr>
          <w:rFonts w:ascii="Times New Roman" w:hAnsi="Times New Roman" w:cs="Times New Roman"/>
          <w:sz w:val="24"/>
          <w:szCs w:val="24"/>
        </w:rPr>
        <w:t xml:space="preserve"> recommends that </w:t>
      </w:r>
      <w:r w:rsidR="00DD6601">
        <w:rPr>
          <w:rFonts w:ascii="Times New Roman" w:hAnsi="Times New Roman" w:cs="Times New Roman"/>
          <w:sz w:val="24"/>
          <w:szCs w:val="24"/>
        </w:rPr>
        <w:t xml:space="preserve">the final regulations </w:t>
      </w:r>
      <w:r w:rsidR="00DD6601">
        <w:rPr>
          <w:rFonts w:ascii="Times New Roman" w:hAnsi="Times New Roman" w:cs="Times New Roman"/>
          <w:sz w:val="24"/>
          <w:szCs w:val="24"/>
        </w:rPr>
        <w:lastRenderedPageBreak/>
        <w:t xml:space="preserve">should </w:t>
      </w:r>
      <w:r w:rsidR="00E24690">
        <w:rPr>
          <w:rFonts w:ascii="Times New Roman" w:hAnsi="Times New Roman" w:cs="Times New Roman"/>
          <w:sz w:val="24"/>
          <w:szCs w:val="24"/>
        </w:rPr>
        <w:t xml:space="preserve">require that </w:t>
      </w:r>
      <w:r w:rsidR="005B302B" w:rsidRPr="005661C8">
        <w:rPr>
          <w:rFonts w:ascii="Times New Roman" w:hAnsi="Times New Roman" w:cs="Times New Roman"/>
          <w:sz w:val="24"/>
          <w:szCs w:val="24"/>
        </w:rPr>
        <w:t xml:space="preserve">only the controller should have the </w:t>
      </w:r>
      <w:r w:rsidR="00E24690">
        <w:rPr>
          <w:rFonts w:ascii="Times New Roman" w:hAnsi="Times New Roman" w:cs="Times New Roman"/>
          <w:sz w:val="24"/>
          <w:szCs w:val="24"/>
        </w:rPr>
        <w:t>responsibility and obligation</w:t>
      </w:r>
      <w:r w:rsidR="005B302B" w:rsidRPr="005661C8">
        <w:rPr>
          <w:rFonts w:ascii="Times New Roman" w:hAnsi="Times New Roman" w:cs="Times New Roman"/>
          <w:sz w:val="24"/>
          <w:szCs w:val="24"/>
        </w:rPr>
        <w:t xml:space="preserve"> to resolve any test taker request, no matter </w:t>
      </w:r>
      <w:r w:rsidR="00FD0E12" w:rsidRPr="005661C8">
        <w:rPr>
          <w:rFonts w:ascii="Times New Roman" w:hAnsi="Times New Roman" w:cs="Times New Roman"/>
          <w:sz w:val="24"/>
          <w:szCs w:val="24"/>
        </w:rPr>
        <w:t xml:space="preserve">if </w:t>
      </w:r>
      <w:r w:rsidR="007E3EE4">
        <w:rPr>
          <w:rFonts w:ascii="Times New Roman" w:hAnsi="Times New Roman" w:cs="Times New Roman"/>
          <w:sz w:val="24"/>
          <w:szCs w:val="24"/>
        </w:rPr>
        <w:t>it uses a</w:t>
      </w:r>
      <w:r w:rsidR="00FD0E12" w:rsidRPr="005661C8">
        <w:rPr>
          <w:rFonts w:ascii="Times New Roman" w:hAnsi="Times New Roman" w:cs="Times New Roman"/>
          <w:sz w:val="24"/>
          <w:szCs w:val="24"/>
        </w:rPr>
        <w:t xml:space="preserve"> service provider </w:t>
      </w:r>
      <w:r w:rsidR="0066687F">
        <w:rPr>
          <w:rFonts w:ascii="Times New Roman" w:hAnsi="Times New Roman" w:cs="Times New Roman"/>
          <w:sz w:val="24"/>
          <w:szCs w:val="24"/>
        </w:rPr>
        <w:t>as</w:t>
      </w:r>
      <w:r w:rsidR="00FD0E12" w:rsidRPr="005661C8">
        <w:rPr>
          <w:rFonts w:ascii="Times New Roman" w:hAnsi="Times New Roman" w:cs="Times New Roman"/>
          <w:sz w:val="24"/>
          <w:szCs w:val="24"/>
        </w:rPr>
        <w:t xml:space="preserve"> the first point of contact</w:t>
      </w:r>
      <w:r w:rsidR="00BD571D" w:rsidRPr="005661C8">
        <w:rPr>
          <w:rFonts w:ascii="Times New Roman" w:hAnsi="Times New Roman" w:cs="Times New Roman"/>
          <w:sz w:val="24"/>
          <w:szCs w:val="24"/>
        </w:rPr>
        <w:t>.</w:t>
      </w:r>
    </w:p>
    <w:p w14:paraId="113F4DFF" w14:textId="6E764196" w:rsidR="00A90912" w:rsidRPr="00A56970" w:rsidRDefault="00B67CE5" w:rsidP="00A56970">
      <w:pPr>
        <w:ind w:firstLine="450"/>
        <w:rPr>
          <w:rFonts w:ascii="Times New Roman" w:hAnsi="Times New Roman" w:cs="Times New Roman"/>
          <w:i/>
          <w:iCs/>
          <w:sz w:val="24"/>
          <w:szCs w:val="24"/>
        </w:rPr>
      </w:pPr>
      <w:r>
        <w:rPr>
          <w:rFonts w:ascii="Times New Roman" w:hAnsi="Times New Roman" w:cs="Times New Roman"/>
          <w:sz w:val="24"/>
          <w:szCs w:val="24"/>
        </w:rPr>
        <w:t xml:space="preserve">b). </w:t>
      </w:r>
      <w:r w:rsidR="00FD0E12">
        <w:rPr>
          <w:rFonts w:ascii="Times New Roman" w:hAnsi="Times New Roman" w:cs="Times New Roman"/>
          <w:sz w:val="24"/>
          <w:szCs w:val="24"/>
        </w:rPr>
        <w:t>Beyond th</w:t>
      </w:r>
      <w:r w:rsidR="003E228A">
        <w:rPr>
          <w:rFonts w:ascii="Times New Roman" w:hAnsi="Times New Roman" w:cs="Times New Roman"/>
          <w:sz w:val="24"/>
          <w:szCs w:val="24"/>
        </w:rPr>
        <w:t>e</w:t>
      </w:r>
      <w:r w:rsidR="00FD0E12">
        <w:rPr>
          <w:rFonts w:ascii="Times New Roman" w:hAnsi="Times New Roman" w:cs="Times New Roman"/>
          <w:sz w:val="24"/>
          <w:szCs w:val="24"/>
        </w:rPr>
        <w:t xml:space="preserve"> basic requirement for a </w:t>
      </w:r>
      <w:r w:rsidR="00980688">
        <w:rPr>
          <w:rFonts w:ascii="Times New Roman" w:hAnsi="Times New Roman" w:cs="Times New Roman"/>
          <w:sz w:val="24"/>
          <w:szCs w:val="24"/>
        </w:rPr>
        <w:t>covered business (or controller</w:t>
      </w:r>
      <w:r w:rsidR="00FD0E12">
        <w:rPr>
          <w:rFonts w:ascii="Times New Roman" w:hAnsi="Times New Roman" w:cs="Times New Roman"/>
          <w:sz w:val="24"/>
          <w:szCs w:val="24"/>
        </w:rPr>
        <w:t xml:space="preserve"> to </w:t>
      </w:r>
      <w:r w:rsidR="00EE2E39">
        <w:rPr>
          <w:rFonts w:ascii="Times New Roman" w:hAnsi="Times New Roman" w:cs="Times New Roman"/>
          <w:sz w:val="24"/>
          <w:szCs w:val="24"/>
        </w:rPr>
        <w:t>decide</w:t>
      </w:r>
      <w:r w:rsidR="00FD0E12">
        <w:rPr>
          <w:rFonts w:ascii="Times New Roman" w:hAnsi="Times New Roman" w:cs="Times New Roman"/>
          <w:sz w:val="24"/>
          <w:szCs w:val="24"/>
        </w:rPr>
        <w:t xml:space="preserve"> any consumer request, the ATP also notes that </w:t>
      </w:r>
      <w:r w:rsidR="00435732">
        <w:rPr>
          <w:rFonts w:ascii="Times New Roman" w:hAnsi="Times New Roman" w:cs="Times New Roman"/>
          <w:sz w:val="24"/>
          <w:szCs w:val="24"/>
        </w:rPr>
        <w:t xml:space="preserve">as proposed </w:t>
      </w:r>
      <w:r w:rsidR="00FD0E12">
        <w:rPr>
          <w:rFonts w:ascii="Times New Roman" w:hAnsi="Times New Roman" w:cs="Times New Roman"/>
          <w:sz w:val="24"/>
          <w:szCs w:val="24"/>
        </w:rPr>
        <w:t>i</w:t>
      </w:r>
      <w:r w:rsidR="005B6E03">
        <w:rPr>
          <w:rFonts w:ascii="Times New Roman" w:hAnsi="Times New Roman" w:cs="Times New Roman"/>
          <w:sz w:val="24"/>
          <w:szCs w:val="24"/>
        </w:rPr>
        <w:t xml:space="preserve">n Section </w:t>
      </w:r>
      <w:r w:rsidR="00BE44CB">
        <w:rPr>
          <w:rFonts w:ascii="Times New Roman" w:hAnsi="Times New Roman" w:cs="Times New Roman"/>
          <w:sz w:val="24"/>
          <w:szCs w:val="24"/>
        </w:rPr>
        <w:t>7022 “Requests to Delete</w:t>
      </w:r>
      <w:r w:rsidR="00FD0E12">
        <w:rPr>
          <w:rFonts w:ascii="Times New Roman" w:hAnsi="Times New Roman" w:cs="Times New Roman"/>
          <w:sz w:val="24"/>
          <w:szCs w:val="24"/>
        </w:rPr>
        <w:t>,</w:t>
      </w:r>
      <w:r w:rsidR="00BE44CB">
        <w:rPr>
          <w:rFonts w:ascii="Times New Roman" w:hAnsi="Times New Roman" w:cs="Times New Roman"/>
          <w:sz w:val="24"/>
          <w:szCs w:val="24"/>
        </w:rPr>
        <w:t>”</w:t>
      </w:r>
      <w:r w:rsidR="00C61820">
        <w:rPr>
          <w:rFonts w:ascii="Times New Roman" w:hAnsi="Times New Roman" w:cs="Times New Roman"/>
          <w:sz w:val="24"/>
          <w:szCs w:val="24"/>
        </w:rPr>
        <w:t xml:space="preserve"> </w:t>
      </w:r>
      <w:r w:rsidR="00FD0E12">
        <w:rPr>
          <w:rFonts w:ascii="Times New Roman" w:hAnsi="Times New Roman" w:cs="Times New Roman"/>
          <w:sz w:val="24"/>
          <w:szCs w:val="24"/>
        </w:rPr>
        <w:t xml:space="preserve">a </w:t>
      </w:r>
      <w:r w:rsidR="0066687F">
        <w:rPr>
          <w:rFonts w:ascii="Times New Roman" w:hAnsi="Times New Roman" w:cs="Times New Roman"/>
          <w:sz w:val="24"/>
          <w:szCs w:val="24"/>
        </w:rPr>
        <w:t xml:space="preserve">covered </w:t>
      </w:r>
      <w:r w:rsidR="00C61820">
        <w:rPr>
          <w:rFonts w:ascii="Times New Roman" w:hAnsi="Times New Roman" w:cs="Times New Roman"/>
          <w:sz w:val="24"/>
          <w:szCs w:val="24"/>
        </w:rPr>
        <w:t>business</w:t>
      </w:r>
      <w:r w:rsidR="00FD0E12">
        <w:rPr>
          <w:rFonts w:ascii="Times New Roman" w:hAnsi="Times New Roman" w:cs="Times New Roman"/>
          <w:sz w:val="24"/>
          <w:szCs w:val="24"/>
        </w:rPr>
        <w:t xml:space="preserve"> would</w:t>
      </w:r>
      <w:r w:rsidR="00C61820">
        <w:rPr>
          <w:rFonts w:ascii="Times New Roman" w:hAnsi="Times New Roman" w:cs="Times New Roman"/>
          <w:sz w:val="24"/>
          <w:szCs w:val="24"/>
        </w:rPr>
        <w:t xml:space="preserve"> only </w:t>
      </w:r>
      <w:r w:rsidR="00FD0E12">
        <w:rPr>
          <w:rFonts w:ascii="Times New Roman" w:hAnsi="Times New Roman" w:cs="Times New Roman"/>
          <w:sz w:val="24"/>
          <w:szCs w:val="24"/>
        </w:rPr>
        <w:t>be</w:t>
      </w:r>
      <w:r w:rsidR="00D164F8">
        <w:rPr>
          <w:rFonts w:ascii="Times New Roman" w:hAnsi="Times New Roman" w:cs="Times New Roman"/>
          <w:sz w:val="24"/>
          <w:szCs w:val="24"/>
        </w:rPr>
        <w:t xml:space="preserve"> in compliance with consumer deletion requests </w:t>
      </w:r>
      <w:r w:rsidR="00980688">
        <w:rPr>
          <w:rFonts w:ascii="Times New Roman" w:hAnsi="Times New Roman" w:cs="Times New Roman"/>
          <w:sz w:val="24"/>
          <w:szCs w:val="24"/>
        </w:rPr>
        <w:t>if it</w:t>
      </w:r>
      <w:r w:rsidR="00D164F8">
        <w:rPr>
          <w:rFonts w:ascii="Times New Roman" w:hAnsi="Times New Roman" w:cs="Times New Roman"/>
          <w:sz w:val="24"/>
          <w:szCs w:val="24"/>
        </w:rPr>
        <w:t xml:space="preserve"> “p</w:t>
      </w:r>
      <w:r w:rsidR="00D164F8" w:rsidRPr="00D164F8">
        <w:rPr>
          <w:rFonts w:ascii="Times New Roman" w:hAnsi="Times New Roman" w:cs="Times New Roman"/>
          <w:sz w:val="24"/>
          <w:szCs w:val="24"/>
        </w:rPr>
        <w:t>ermanently and completely eras</w:t>
      </w:r>
      <w:r w:rsidR="00D164F8">
        <w:rPr>
          <w:rFonts w:ascii="Times New Roman" w:hAnsi="Times New Roman" w:cs="Times New Roman"/>
          <w:sz w:val="24"/>
          <w:szCs w:val="24"/>
        </w:rPr>
        <w:t>ing</w:t>
      </w:r>
      <w:r w:rsidR="00D164F8" w:rsidRPr="00D164F8">
        <w:rPr>
          <w:rFonts w:ascii="Times New Roman" w:hAnsi="Times New Roman" w:cs="Times New Roman"/>
          <w:sz w:val="24"/>
          <w:szCs w:val="24"/>
        </w:rPr>
        <w:t xml:space="preserve"> the personal information on </w:t>
      </w:r>
      <w:r w:rsidR="00194C5C">
        <w:rPr>
          <w:rFonts w:ascii="Times New Roman" w:hAnsi="Times New Roman" w:cs="Times New Roman"/>
          <w:sz w:val="24"/>
          <w:szCs w:val="24"/>
        </w:rPr>
        <w:t>the consumer</w:t>
      </w:r>
      <w:r w:rsidR="00A56970">
        <w:rPr>
          <w:rFonts w:ascii="Times New Roman" w:hAnsi="Times New Roman" w:cs="Times New Roman"/>
          <w:sz w:val="24"/>
          <w:szCs w:val="24"/>
        </w:rPr>
        <w:t>.</w:t>
      </w:r>
      <w:r w:rsidR="0066687F">
        <w:rPr>
          <w:rFonts w:ascii="Times New Roman" w:hAnsi="Times New Roman" w:cs="Times New Roman"/>
          <w:sz w:val="24"/>
          <w:szCs w:val="24"/>
        </w:rPr>
        <w:t>”</w:t>
      </w:r>
      <w:r w:rsidR="00A56970">
        <w:rPr>
          <w:rFonts w:ascii="Times New Roman" w:hAnsi="Times New Roman" w:cs="Times New Roman"/>
          <w:i/>
          <w:iCs/>
          <w:sz w:val="24"/>
          <w:szCs w:val="24"/>
        </w:rPr>
        <w:t xml:space="preserve">  </w:t>
      </w:r>
      <w:r w:rsidR="00CA56F9">
        <w:rPr>
          <w:rFonts w:ascii="Times New Roman" w:hAnsi="Times New Roman" w:cs="Times New Roman"/>
          <w:sz w:val="24"/>
          <w:szCs w:val="24"/>
        </w:rPr>
        <w:t xml:space="preserve">As shown above, testing organizations often </w:t>
      </w:r>
      <w:r w:rsidR="002E6E42">
        <w:rPr>
          <w:rFonts w:ascii="Times New Roman" w:hAnsi="Times New Roman" w:cs="Times New Roman"/>
          <w:sz w:val="24"/>
          <w:szCs w:val="24"/>
        </w:rPr>
        <w:t xml:space="preserve">de-identify test takers’ personal information by anonymizing it and aggregating it for research purposes, whether that is to </w:t>
      </w:r>
      <w:r w:rsidR="00B818ED">
        <w:rPr>
          <w:rFonts w:ascii="Times New Roman" w:hAnsi="Times New Roman" w:cs="Times New Roman"/>
          <w:sz w:val="24"/>
          <w:szCs w:val="24"/>
        </w:rPr>
        <w:t xml:space="preserve">conduct norming studies or </w:t>
      </w:r>
      <w:r w:rsidR="00C52AE1">
        <w:rPr>
          <w:rFonts w:ascii="Times New Roman" w:hAnsi="Times New Roman" w:cs="Times New Roman"/>
          <w:sz w:val="24"/>
          <w:szCs w:val="24"/>
        </w:rPr>
        <w:t>to improve future versions of the test.</w:t>
      </w:r>
      <w:r w:rsidR="00F96A0A">
        <w:rPr>
          <w:rFonts w:ascii="Times New Roman" w:hAnsi="Times New Roman" w:cs="Times New Roman"/>
          <w:sz w:val="24"/>
          <w:szCs w:val="24"/>
        </w:rPr>
        <w:t xml:space="preserve"> The ATP recommends that </w:t>
      </w:r>
      <w:r w:rsidR="0053474D">
        <w:rPr>
          <w:rFonts w:ascii="Times New Roman" w:hAnsi="Times New Roman" w:cs="Times New Roman"/>
          <w:sz w:val="24"/>
          <w:szCs w:val="24"/>
        </w:rPr>
        <w:t>t</w:t>
      </w:r>
      <w:r w:rsidR="00980688">
        <w:rPr>
          <w:rFonts w:ascii="Times New Roman" w:hAnsi="Times New Roman" w:cs="Times New Roman"/>
          <w:sz w:val="24"/>
          <w:szCs w:val="24"/>
        </w:rPr>
        <w:t>h</w:t>
      </w:r>
      <w:r w:rsidR="0053474D">
        <w:rPr>
          <w:rFonts w:ascii="Times New Roman" w:hAnsi="Times New Roman" w:cs="Times New Roman"/>
          <w:sz w:val="24"/>
          <w:szCs w:val="24"/>
        </w:rPr>
        <w:t xml:space="preserve">e Agency provide use cases to confirm and clarify these situations. </w:t>
      </w:r>
    </w:p>
    <w:p w14:paraId="59C3A413" w14:textId="4CFF2196" w:rsidR="00015140" w:rsidRPr="00CA56F9" w:rsidRDefault="00B67CE5" w:rsidP="00B67CE5">
      <w:pPr>
        <w:ind w:firstLine="450"/>
        <w:rPr>
          <w:rFonts w:ascii="Times New Roman" w:hAnsi="Times New Roman" w:cs="Times New Roman"/>
          <w:sz w:val="24"/>
          <w:szCs w:val="24"/>
        </w:rPr>
      </w:pPr>
      <w:r>
        <w:rPr>
          <w:rFonts w:ascii="Times New Roman" w:hAnsi="Times New Roman" w:cs="Times New Roman"/>
          <w:sz w:val="24"/>
          <w:szCs w:val="24"/>
        </w:rPr>
        <w:t xml:space="preserve">c). </w:t>
      </w:r>
      <w:r w:rsidR="00015140" w:rsidRPr="00092F4E">
        <w:rPr>
          <w:rFonts w:ascii="Times New Roman" w:hAnsi="Times New Roman" w:cs="Times New Roman"/>
          <w:sz w:val="24"/>
          <w:szCs w:val="24"/>
        </w:rPr>
        <w:t xml:space="preserve">The CCPA </w:t>
      </w:r>
      <w:r w:rsidR="00015140">
        <w:rPr>
          <w:rFonts w:ascii="Times New Roman" w:hAnsi="Times New Roman" w:cs="Times New Roman"/>
          <w:sz w:val="24"/>
          <w:szCs w:val="24"/>
        </w:rPr>
        <w:t>makes it clear that a business is free</w:t>
      </w:r>
      <w:r w:rsidR="00015140" w:rsidRPr="00092F4E">
        <w:rPr>
          <w:rFonts w:ascii="Times New Roman" w:hAnsi="Times New Roman" w:cs="Times New Roman"/>
          <w:sz w:val="24"/>
          <w:szCs w:val="24"/>
        </w:rPr>
        <w:t xml:space="preserve"> to collect, use, retain, sell, or disclose consumer information that is de</w:t>
      </w:r>
      <w:r w:rsidR="00015140">
        <w:rPr>
          <w:rFonts w:ascii="Times New Roman" w:hAnsi="Times New Roman" w:cs="Times New Roman"/>
          <w:sz w:val="24"/>
          <w:szCs w:val="24"/>
        </w:rPr>
        <w:t>-</w:t>
      </w:r>
      <w:r w:rsidR="00015140" w:rsidRPr="00092F4E">
        <w:rPr>
          <w:rFonts w:ascii="Times New Roman" w:hAnsi="Times New Roman" w:cs="Times New Roman"/>
          <w:sz w:val="24"/>
          <w:szCs w:val="24"/>
        </w:rPr>
        <w:t xml:space="preserve">identified or aggregated. </w:t>
      </w:r>
      <w:r w:rsidR="00015140" w:rsidRPr="00092F4E">
        <w:rPr>
          <w:rFonts w:ascii="Times New Roman" w:hAnsi="Times New Roman" w:cs="Times New Roman"/>
          <w:i/>
          <w:sz w:val="24"/>
          <w:szCs w:val="24"/>
        </w:rPr>
        <w:t xml:space="preserve">See </w:t>
      </w:r>
      <w:r w:rsidR="00015140" w:rsidRPr="00092F4E">
        <w:rPr>
          <w:rFonts w:ascii="Times New Roman" w:hAnsi="Times New Roman" w:cs="Times New Roman"/>
          <w:sz w:val="24"/>
          <w:szCs w:val="24"/>
        </w:rPr>
        <w:t>C</w:t>
      </w:r>
      <w:r w:rsidR="00015140">
        <w:rPr>
          <w:rFonts w:ascii="Times New Roman" w:hAnsi="Times New Roman" w:cs="Times New Roman"/>
          <w:sz w:val="24"/>
          <w:szCs w:val="24"/>
        </w:rPr>
        <w:t xml:space="preserve">al. Civ. Code §1798.140(o)(2).   </w:t>
      </w:r>
      <w:r w:rsidR="00015140" w:rsidRPr="00DE3F54">
        <w:rPr>
          <w:rFonts w:ascii="Times New Roman" w:hAnsi="Times New Roman" w:cs="Times New Roman"/>
          <w:sz w:val="24"/>
          <w:szCs w:val="24"/>
        </w:rPr>
        <w:t>The ATP submits it would be helpful for the final regulations specifically to provide examples explaining appropriate uses of such information, including uses in testing, where anonymous personal information has been de-identified and is then aggregated so that no information identif</w:t>
      </w:r>
      <w:r w:rsidR="00980688">
        <w:rPr>
          <w:rFonts w:ascii="Times New Roman" w:hAnsi="Times New Roman" w:cs="Times New Roman"/>
          <w:sz w:val="24"/>
          <w:szCs w:val="24"/>
        </w:rPr>
        <w:t>ying</w:t>
      </w:r>
      <w:r w:rsidR="00015140" w:rsidRPr="00DE3F54">
        <w:rPr>
          <w:rFonts w:ascii="Times New Roman" w:hAnsi="Times New Roman" w:cs="Times New Roman"/>
          <w:sz w:val="24"/>
          <w:szCs w:val="24"/>
        </w:rPr>
        <w:t xml:space="preserve"> the consumers is shared or disclosed</w:t>
      </w:r>
      <w:r w:rsidR="00172B5F">
        <w:rPr>
          <w:rFonts w:ascii="Times New Roman" w:hAnsi="Times New Roman" w:cs="Times New Roman"/>
          <w:sz w:val="24"/>
          <w:szCs w:val="24"/>
        </w:rPr>
        <w:t xml:space="preserve"> </w:t>
      </w:r>
      <w:r w:rsidR="00CE0AF3" w:rsidRPr="00DE3F54">
        <w:rPr>
          <w:rFonts w:ascii="Times New Roman" w:hAnsi="Times New Roman" w:cs="Times New Roman"/>
          <w:sz w:val="24"/>
          <w:szCs w:val="24"/>
        </w:rPr>
        <w:t>(</w:t>
      </w:r>
      <w:r w:rsidR="00CE0AF3" w:rsidRPr="00980688">
        <w:rPr>
          <w:rFonts w:ascii="Times New Roman" w:hAnsi="Times New Roman" w:cs="Times New Roman"/>
          <w:i/>
          <w:iCs/>
          <w:sz w:val="24"/>
          <w:szCs w:val="24"/>
        </w:rPr>
        <w:t>see</w:t>
      </w:r>
      <w:r w:rsidR="00CE0AF3" w:rsidRPr="005F1C87">
        <w:rPr>
          <w:rFonts w:ascii="Times New Roman" w:hAnsi="Times New Roman" w:cs="Times New Roman"/>
          <w:sz w:val="24"/>
          <w:szCs w:val="24"/>
        </w:rPr>
        <w:t xml:space="preserve"> fn. </w:t>
      </w:r>
      <w:r w:rsidR="00980688">
        <w:rPr>
          <w:rFonts w:ascii="Times New Roman" w:hAnsi="Times New Roman" w:cs="Times New Roman"/>
          <w:sz w:val="24"/>
          <w:szCs w:val="24"/>
        </w:rPr>
        <w:t>14).</w:t>
      </w:r>
      <w:r w:rsidR="00CE0AF3">
        <w:rPr>
          <w:rFonts w:ascii="Times New Roman" w:hAnsi="Times New Roman" w:cs="Times New Roman"/>
          <w:sz w:val="24"/>
          <w:szCs w:val="24"/>
        </w:rPr>
        <w:t xml:space="preserve"> </w:t>
      </w:r>
      <w:r w:rsidR="00015140">
        <w:rPr>
          <w:rFonts w:ascii="Times New Roman" w:hAnsi="Times New Roman" w:cs="Times New Roman"/>
          <w:sz w:val="24"/>
          <w:szCs w:val="24"/>
        </w:rPr>
        <w:t>Most often, testing organizations include disclosure of such research uses of some personal information on an anonymous and aggregated basis in the test taker agreement, so that they do not have to go back to test takers a second time with a new notice.</w:t>
      </w:r>
    </w:p>
    <w:p w14:paraId="406CE116" w14:textId="22C34C85" w:rsidR="009F4D54" w:rsidRDefault="00B67CE5" w:rsidP="00BB0A73">
      <w:pPr>
        <w:ind w:firstLine="450"/>
        <w:rPr>
          <w:rFonts w:ascii="Times New Roman" w:hAnsi="Times New Roman" w:cs="Times New Roman"/>
          <w:sz w:val="24"/>
          <w:szCs w:val="24"/>
        </w:rPr>
      </w:pPr>
      <w:r>
        <w:rPr>
          <w:rFonts w:ascii="Times New Roman" w:hAnsi="Times New Roman" w:cs="Times New Roman"/>
          <w:sz w:val="24"/>
          <w:szCs w:val="24"/>
        </w:rPr>
        <w:t xml:space="preserve">d). </w:t>
      </w:r>
      <w:r w:rsidR="00B818ED">
        <w:rPr>
          <w:rFonts w:ascii="Times New Roman" w:hAnsi="Times New Roman" w:cs="Times New Roman"/>
          <w:sz w:val="24"/>
          <w:szCs w:val="24"/>
        </w:rPr>
        <w:t>T</w:t>
      </w:r>
      <w:r w:rsidR="00AD0876">
        <w:rPr>
          <w:rFonts w:ascii="Times New Roman" w:hAnsi="Times New Roman" w:cs="Times New Roman"/>
          <w:sz w:val="24"/>
          <w:szCs w:val="24"/>
        </w:rPr>
        <w:t xml:space="preserve">he </w:t>
      </w:r>
      <w:r w:rsidR="009F4D54">
        <w:rPr>
          <w:rFonts w:ascii="Times New Roman" w:hAnsi="Times New Roman" w:cs="Times New Roman"/>
          <w:sz w:val="24"/>
          <w:szCs w:val="24"/>
        </w:rPr>
        <w:t xml:space="preserve">ATP </w:t>
      </w:r>
      <w:r w:rsidR="008464DE">
        <w:rPr>
          <w:rFonts w:ascii="Times New Roman" w:hAnsi="Times New Roman" w:cs="Times New Roman"/>
          <w:sz w:val="24"/>
          <w:szCs w:val="24"/>
        </w:rPr>
        <w:t>strongly s</w:t>
      </w:r>
      <w:r w:rsidR="009F4D54">
        <w:rPr>
          <w:rFonts w:ascii="Times New Roman" w:hAnsi="Times New Roman" w:cs="Times New Roman"/>
          <w:sz w:val="24"/>
          <w:szCs w:val="24"/>
        </w:rPr>
        <w:t xml:space="preserve">upports </w:t>
      </w:r>
      <w:r w:rsidR="00FE5C0C">
        <w:rPr>
          <w:rFonts w:ascii="Times New Roman" w:hAnsi="Times New Roman" w:cs="Times New Roman"/>
          <w:sz w:val="24"/>
          <w:szCs w:val="24"/>
        </w:rPr>
        <w:t>th</w:t>
      </w:r>
      <w:r w:rsidR="005A335F">
        <w:rPr>
          <w:rFonts w:ascii="Times New Roman" w:hAnsi="Times New Roman" w:cs="Times New Roman"/>
          <w:sz w:val="24"/>
          <w:szCs w:val="24"/>
        </w:rPr>
        <w:t xml:space="preserve">e </w:t>
      </w:r>
      <w:r w:rsidR="00FE5C0C">
        <w:rPr>
          <w:rFonts w:ascii="Times New Roman" w:hAnsi="Times New Roman" w:cs="Times New Roman"/>
          <w:sz w:val="24"/>
          <w:szCs w:val="24"/>
        </w:rPr>
        <w:t>Proposed Regulations that permit businesses, service providers</w:t>
      </w:r>
      <w:r w:rsidR="00D23609">
        <w:rPr>
          <w:rFonts w:ascii="Times New Roman" w:hAnsi="Times New Roman" w:cs="Times New Roman"/>
          <w:sz w:val="24"/>
          <w:szCs w:val="24"/>
        </w:rPr>
        <w:t>,</w:t>
      </w:r>
      <w:r w:rsidR="00FE5C0C">
        <w:rPr>
          <w:rFonts w:ascii="Times New Roman" w:hAnsi="Times New Roman" w:cs="Times New Roman"/>
          <w:sz w:val="24"/>
          <w:szCs w:val="24"/>
        </w:rPr>
        <w:t xml:space="preserve"> and contractors to</w:t>
      </w:r>
      <w:r w:rsidR="009F4D54">
        <w:rPr>
          <w:rFonts w:ascii="Times New Roman" w:hAnsi="Times New Roman" w:cs="Times New Roman"/>
          <w:sz w:val="24"/>
          <w:szCs w:val="24"/>
        </w:rPr>
        <w:t xml:space="preserve"> delay </w:t>
      </w:r>
      <w:r w:rsidR="00FE5C0C">
        <w:rPr>
          <w:rFonts w:ascii="Times New Roman" w:hAnsi="Times New Roman" w:cs="Times New Roman"/>
          <w:sz w:val="24"/>
          <w:szCs w:val="24"/>
        </w:rPr>
        <w:t xml:space="preserve">the </w:t>
      </w:r>
      <w:r w:rsidR="009F4D54">
        <w:rPr>
          <w:rFonts w:ascii="Times New Roman" w:hAnsi="Times New Roman" w:cs="Times New Roman"/>
          <w:sz w:val="24"/>
          <w:szCs w:val="24"/>
        </w:rPr>
        <w:t xml:space="preserve">deletion of personal information if </w:t>
      </w:r>
      <w:r w:rsidR="008464DE">
        <w:rPr>
          <w:rFonts w:ascii="Times New Roman" w:hAnsi="Times New Roman" w:cs="Times New Roman"/>
          <w:sz w:val="24"/>
          <w:szCs w:val="24"/>
        </w:rPr>
        <w:t xml:space="preserve">the requested </w:t>
      </w:r>
      <w:r w:rsidR="00FE5C0C">
        <w:rPr>
          <w:rFonts w:ascii="Times New Roman" w:hAnsi="Times New Roman" w:cs="Times New Roman"/>
          <w:sz w:val="24"/>
          <w:szCs w:val="24"/>
        </w:rPr>
        <w:t xml:space="preserve">personal information </w:t>
      </w:r>
      <w:r w:rsidR="009F4D54">
        <w:rPr>
          <w:rFonts w:ascii="Times New Roman" w:hAnsi="Times New Roman" w:cs="Times New Roman"/>
          <w:sz w:val="24"/>
          <w:szCs w:val="24"/>
        </w:rPr>
        <w:t>is archived or in backups</w:t>
      </w:r>
      <w:r w:rsidR="00B818ED">
        <w:rPr>
          <w:rFonts w:ascii="Times New Roman" w:hAnsi="Times New Roman" w:cs="Times New Roman"/>
          <w:sz w:val="24"/>
          <w:szCs w:val="24"/>
        </w:rPr>
        <w:t xml:space="preserve">. </w:t>
      </w:r>
      <w:r w:rsidR="006563B8">
        <w:rPr>
          <w:rFonts w:ascii="Times New Roman" w:hAnsi="Times New Roman" w:cs="Times New Roman"/>
          <w:sz w:val="24"/>
          <w:szCs w:val="24"/>
        </w:rPr>
        <w:t>However</w:t>
      </w:r>
      <w:r w:rsidR="005A335F">
        <w:rPr>
          <w:rFonts w:ascii="Times New Roman" w:hAnsi="Times New Roman" w:cs="Times New Roman"/>
          <w:sz w:val="24"/>
          <w:szCs w:val="24"/>
        </w:rPr>
        <w:t>, the ATP</w:t>
      </w:r>
      <w:r w:rsidR="00243255">
        <w:rPr>
          <w:rFonts w:ascii="Times New Roman" w:hAnsi="Times New Roman" w:cs="Times New Roman"/>
          <w:sz w:val="24"/>
          <w:szCs w:val="24"/>
        </w:rPr>
        <w:t xml:space="preserve"> requests additional guidance from the Agency </w:t>
      </w:r>
      <w:r w:rsidR="00356BE9">
        <w:rPr>
          <w:rFonts w:ascii="Times New Roman" w:hAnsi="Times New Roman" w:cs="Times New Roman"/>
          <w:sz w:val="24"/>
          <w:szCs w:val="24"/>
        </w:rPr>
        <w:t>to clarify</w:t>
      </w:r>
      <w:r w:rsidR="005A335F">
        <w:rPr>
          <w:rFonts w:ascii="Times New Roman" w:hAnsi="Times New Roman" w:cs="Times New Roman"/>
          <w:sz w:val="24"/>
          <w:szCs w:val="24"/>
        </w:rPr>
        <w:t xml:space="preserve"> when </w:t>
      </w:r>
      <w:r w:rsidR="00356BE9">
        <w:rPr>
          <w:rFonts w:ascii="Times New Roman" w:hAnsi="Times New Roman" w:cs="Times New Roman"/>
          <w:sz w:val="24"/>
          <w:szCs w:val="24"/>
        </w:rPr>
        <w:t xml:space="preserve">it </w:t>
      </w:r>
      <w:r w:rsidR="00243255">
        <w:rPr>
          <w:rFonts w:ascii="Times New Roman" w:hAnsi="Times New Roman" w:cs="Times New Roman"/>
          <w:sz w:val="24"/>
          <w:szCs w:val="24"/>
        </w:rPr>
        <w:t xml:space="preserve">generally </w:t>
      </w:r>
      <w:r w:rsidR="006563B8">
        <w:rPr>
          <w:rFonts w:ascii="Times New Roman" w:hAnsi="Times New Roman" w:cs="Times New Roman"/>
          <w:sz w:val="24"/>
          <w:szCs w:val="24"/>
        </w:rPr>
        <w:t xml:space="preserve">should be considered </w:t>
      </w:r>
      <w:r w:rsidR="00356BE9">
        <w:rPr>
          <w:rFonts w:ascii="Times New Roman" w:hAnsi="Times New Roman" w:cs="Times New Roman"/>
          <w:sz w:val="24"/>
          <w:szCs w:val="24"/>
        </w:rPr>
        <w:t>appropriate</w:t>
      </w:r>
      <w:r w:rsidR="00243255">
        <w:rPr>
          <w:rFonts w:ascii="Times New Roman" w:hAnsi="Times New Roman" w:cs="Times New Roman"/>
          <w:sz w:val="24"/>
          <w:szCs w:val="24"/>
        </w:rPr>
        <w:t xml:space="preserve"> to keep archived data</w:t>
      </w:r>
      <w:r w:rsidR="00356BE9">
        <w:rPr>
          <w:rFonts w:ascii="Times New Roman" w:hAnsi="Times New Roman" w:cs="Times New Roman"/>
          <w:sz w:val="24"/>
          <w:szCs w:val="24"/>
        </w:rPr>
        <w:t>, which we contend could exist</w:t>
      </w:r>
      <w:r w:rsidR="00243255">
        <w:rPr>
          <w:rFonts w:ascii="Times New Roman" w:hAnsi="Times New Roman" w:cs="Times New Roman"/>
          <w:sz w:val="24"/>
          <w:szCs w:val="24"/>
        </w:rPr>
        <w:t xml:space="preserve"> for a multitude of reasons</w:t>
      </w:r>
      <w:r w:rsidR="000E12FD">
        <w:rPr>
          <w:rFonts w:ascii="Times New Roman" w:hAnsi="Times New Roman" w:cs="Times New Roman"/>
          <w:sz w:val="24"/>
          <w:szCs w:val="24"/>
        </w:rPr>
        <w:t xml:space="preserve"> (e.g., to resolve test scoring/reporting challenges, on behalf of testing customers who request extended retention)</w:t>
      </w:r>
      <w:r w:rsidR="00243255">
        <w:rPr>
          <w:rFonts w:ascii="Times New Roman" w:hAnsi="Times New Roman" w:cs="Times New Roman"/>
          <w:sz w:val="24"/>
          <w:szCs w:val="24"/>
        </w:rPr>
        <w:t xml:space="preserve">. We recommend that businesses </w:t>
      </w:r>
      <w:r w:rsidR="005A335F">
        <w:rPr>
          <w:rFonts w:ascii="Times New Roman" w:hAnsi="Times New Roman" w:cs="Times New Roman"/>
          <w:sz w:val="24"/>
          <w:szCs w:val="24"/>
        </w:rPr>
        <w:t>be</w:t>
      </w:r>
      <w:r w:rsidR="00243255">
        <w:rPr>
          <w:rFonts w:ascii="Times New Roman" w:hAnsi="Times New Roman" w:cs="Times New Roman"/>
          <w:sz w:val="24"/>
          <w:szCs w:val="24"/>
        </w:rPr>
        <w:t xml:space="preserve"> permitted to </w:t>
      </w:r>
      <w:r w:rsidR="00D23609">
        <w:rPr>
          <w:rFonts w:ascii="Times New Roman" w:hAnsi="Times New Roman" w:cs="Times New Roman"/>
          <w:sz w:val="24"/>
          <w:szCs w:val="24"/>
        </w:rPr>
        <w:t>archive</w:t>
      </w:r>
      <w:r w:rsidR="00243255">
        <w:rPr>
          <w:rFonts w:ascii="Times New Roman" w:hAnsi="Times New Roman" w:cs="Times New Roman"/>
          <w:sz w:val="24"/>
          <w:szCs w:val="24"/>
        </w:rPr>
        <w:t>/backup when they provide a legitimate, documented purpose for doing so</w:t>
      </w:r>
      <w:r w:rsidR="009F4D54">
        <w:rPr>
          <w:rFonts w:ascii="Times New Roman" w:hAnsi="Times New Roman" w:cs="Times New Roman"/>
          <w:sz w:val="24"/>
          <w:szCs w:val="24"/>
        </w:rPr>
        <w:t xml:space="preserve">.  As indicated in Section </w:t>
      </w:r>
      <w:r w:rsidR="00A43064">
        <w:rPr>
          <w:rFonts w:ascii="Times New Roman" w:hAnsi="Times New Roman" w:cs="Times New Roman"/>
          <w:sz w:val="24"/>
          <w:szCs w:val="24"/>
        </w:rPr>
        <w:t>7022(d) “</w:t>
      </w:r>
      <w:r w:rsidR="00A43064" w:rsidRPr="00A43064">
        <w:rPr>
          <w:rFonts w:ascii="Times New Roman" w:hAnsi="Times New Roman" w:cs="Times New Roman"/>
          <w:sz w:val="24"/>
          <w:szCs w:val="24"/>
        </w:rPr>
        <w:t>If a business, service provider, or contractor stores any personal information on archived or backup systems, it may delay compliance with the consumer’s request to delete, with</w:t>
      </w:r>
      <w:r w:rsidR="00A43064">
        <w:rPr>
          <w:rFonts w:ascii="Times New Roman" w:hAnsi="Times New Roman" w:cs="Times New Roman"/>
          <w:sz w:val="24"/>
          <w:szCs w:val="24"/>
        </w:rPr>
        <w:t xml:space="preserve"> </w:t>
      </w:r>
      <w:r w:rsidR="00A43064" w:rsidRPr="00A43064">
        <w:rPr>
          <w:rFonts w:ascii="Times New Roman" w:hAnsi="Times New Roman" w:cs="Times New Roman"/>
          <w:sz w:val="24"/>
          <w:szCs w:val="24"/>
        </w:rPr>
        <w:t>respect to data stored on the archived or backup system, until the archived or backup system relating to that data is restored to an active system or is next accessed or ed</w:t>
      </w:r>
      <w:r w:rsidR="0066687F">
        <w:rPr>
          <w:rFonts w:ascii="Times New Roman" w:hAnsi="Times New Roman" w:cs="Times New Roman"/>
          <w:sz w:val="24"/>
          <w:szCs w:val="24"/>
        </w:rPr>
        <w:t>ited</w:t>
      </w:r>
      <w:r w:rsidR="00A43064" w:rsidRPr="00A43064">
        <w:rPr>
          <w:rFonts w:ascii="Times New Roman" w:hAnsi="Times New Roman" w:cs="Times New Roman"/>
          <w:sz w:val="24"/>
          <w:szCs w:val="24"/>
        </w:rPr>
        <w:t xml:space="preserve"> for a sale, disclosure, or commercial purpose</w:t>
      </w:r>
      <w:r w:rsidR="000358D7">
        <w:rPr>
          <w:rFonts w:ascii="Times New Roman" w:hAnsi="Times New Roman" w:cs="Times New Roman"/>
          <w:sz w:val="24"/>
          <w:szCs w:val="24"/>
        </w:rPr>
        <w:t>.</w:t>
      </w:r>
      <w:r w:rsidR="008B0D88">
        <w:rPr>
          <w:rFonts w:ascii="Times New Roman" w:hAnsi="Times New Roman" w:cs="Times New Roman"/>
          <w:sz w:val="24"/>
          <w:szCs w:val="24"/>
        </w:rPr>
        <w:t>”</w:t>
      </w:r>
      <w:r w:rsidR="000358D7">
        <w:rPr>
          <w:rFonts w:ascii="Times New Roman" w:hAnsi="Times New Roman" w:cs="Times New Roman"/>
          <w:sz w:val="24"/>
          <w:szCs w:val="24"/>
        </w:rPr>
        <w:t xml:space="preserve"> </w:t>
      </w:r>
    </w:p>
    <w:p w14:paraId="4BFA4E79" w14:textId="00F051C9" w:rsidR="009129CB" w:rsidRDefault="00427E1F" w:rsidP="0097415B">
      <w:pPr>
        <w:ind w:firstLine="450"/>
        <w:rPr>
          <w:rFonts w:ascii="Times New Roman" w:hAnsi="Times New Roman" w:cs="Times New Roman"/>
          <w:sz w:val="24"/>
          <w:szCs w:val="24"/>
        </w:rPr>
      </w:pPr>
      <w:r>
        <w:rPr>
          <w:rFonts w:ascii="Times New Roman" w:hAnsi="Times New Roman" w:cs="Times New Roman"/>
          <w:sz w:val="24"/>
          <w:szCs w:val="24"/>
        </w:rPr>
        <w:t xml:space="preserve">e). </w:t>
      </w:r>
      <w:r w:rsidR="00D82B49">
        <w:rPr>
          <w:rFonts w:ascii="Times New Roman" w:hAnsi="Times New Roman" w:cs="Times New Roman"/>
          <w:sz w:val="24"/>
          <w:szCs w:val="24"/>
        </w:rPr>
        <w:t>T</w:t>
      </w:r>
      <w:r w:rsidR="001556C0">
        <w:rPr>
          <w:rFonts w:ascii="Times New Roman" w:hAnsi="Times New Roman" w:cs="Times New Roman"/>
          <w:sz w:val="24"/>
          <w:szCs w:val="24"/>
        </w:rPr>
        <w:t xml:space="preserve">he </w:t>
      </w:r>
      <w:r w:rsidR="009129CB">
        <w:rPr>
          <w:rFonts w:ascii="Times New Roman" w:hAnsi="Times New Roman" w:cs="Times New Roman"/>
          <w:sz w:val="24"/>
          <w:szCs w:val="24"/>
        </w:rPr>
        <w:t xml:space="preserve">ATP again </w:t>
      </w:r>
      <w:r w:rsidR="005E6C43">
        <w:rPr>
          <w:rFonts w:ascii="Times New Roman" w:hAnsi="Times New Roman" w:cs="Times New Roman"/>
          <w:sz w:val="24"/>
          <w:szCs w:val="24"/>
        </w:rPr>
        <w:t xml:space="preserve">urges </w:t>
      </w:r>
      <w:r w:rsidR="00D82B49">
        <w:rPr>
          <w:rFonts w:ascii="Times New Roman" w:hAnsi="Times New Roman" w:cs="Times New Roman"/>
          <w:sz w:val="24"/>
          <w:szCs w:val="24"/>
        </w:rPr>
        <w:t xml:space="preserve">that </w:t>
      </w:r>
      <w:r w:rsidR="005E6C43">
        <w:rPr>
          <w:rFonts w:ascii="Times New Roman" w:hAnsi="Times New Roman" w:cs="Times New Roman"/>
          <w:sz w:val="24"/>
          <w:szCs w:val="24"/>
        </w:rPr>
        <w:t xml:space="preserve">the </w:t>
      </w:r>
      <w:r w:rsidR="001556C0">
        <w:rPr>
          <w:rFonts w:ascii="Times New Roman" w:hAnsi="Times New Roman" w:cs="Times New Roman"/>
          <w:sz w:val="24"/>
          <w:szCs w:val="24"/>
        </w:rPr>
        <w:t>A</w:t>
      </w:r>
      <w:r w:rsidR="005E6C43">
        <w:rPr>
          <w:rFonts w:ascii="Times New Roman" w:hAnsi="Times New Roman" w:cs="Times New Roman"/>
          <w:sz w:val="24"/>
          <w:szCs w:val="24"/>
        </w:rPr>
        <w:t xml:space="preserve">gency </w:t>
      </w:r>
      <w:r w:rsidR="00D82B49">
        <w:rPr>
          <w:rFonts w:ascii="Times New Roman" w:hAnsi="Times New Roman" w:cs="Times New Roman"/>
          <w:sz w:val="24"/>
          <w:szCs w:val="24"/>
        </w:rPr>
        <w:t>should</w:t>
      </w:r>
      <w:r w:rsidR="005E6C43">
        <w:rPr>
          <w:rFonts w:ascii="Times New Roman" w:hAnsi="Times New Roman" w:cs="Times New Roman"/>
          <w:sz w:val="24"/>
          <w:szCs w:val="24"/>
        </w:rPr>
        <w:t xml:space="preserve"> impose fewer burdens on businesses, service providers</w:t>
      </w:r>
      <w:r w:rsidR="001556C0">
        <w:rPr>
          <w:rFonts w:ascii="Times New Roman" w:hAnsi="Times New Roman" w:cs="Times New Roman"/>
          <w:sz w:val="24"/>
          <w:szCs w:val="24"/>
        </w:rPr>
        <w:t>,</w:t>
      </w:r>
      <w:r w:rsidR="005E6C43">
        <w:rPr>
          <w:rFonts w:ascii="Times New Roman" w:hAnsi="Times New Roman" w:cs="Times New Roman"/>
          <w:sz w:val="24"/>
          <w:szCs w:val="24"/>
        </w:rPr>
        <w:t xml:space="preserve"> and contractors </w:t>
      </w:r>
      <w:r w:rsidR="00184068">
        <w:rPr>
          <w:rFonts w:ascii="Times New Roman" w:hAnsi="Times New Roman" w:cs="Times New Roman"/>
          <w:sz w:val="24"/>
          <w:szCs w:val="24"/>
        </w:rPr>
        <w:t xml:space="preserve">with regard to consumers’ </w:t>
      </w:r>
      <w:r w:rsidR="005E6C43">
        <w:rPr>
          <w:rFonts w:ascii="Times New Roman" w:hAnsi="Times New Roman" w:cs="Times New Roman"/>
          <w:sz w:val="24"/>
          <w:szCs w:val="24"/>
        </w:rPr>
        <w:t xml:space="preserve">“Request to Correct.”  In Section 7023 (b), “a </w:t>
      </w:r>
      <w:r w:rsidR="005E6C43" w:rsidRPr="005E6C43">
        <w:rPr>
          <w:rFonts w:ascii="Times New Roman" w:hAnsi="Times New Roman" w:cs="Times New Roman"/>
          <w:sz w:val="24"/>
          <w:szCs w:val="24"/>
        </w:rPr>
        <w:t>business may deny a consumer’s request to correct if it determines that the contested personal information is more likely than not accurate based on the totality of the circumstance</w:t>
      </w:r>
      <w:r w:rsidR="005E6C43">
        <w:rPr>
          <w:rFonts w:ascii="Times New Roman" w:hAnsi="Times New Roman" w:cs="Times New Roman"/>
          <w:sz w:val="24"/>
          <w:szCs w:val="24"/>
        </w:rPr>
        <w:t xml:space="preserve">s.” </w:t>
      </w:r>
      <w:r w:rsidR="00E0054E">
        <w:rPr>
          <w:rFonts w:ascii="Times New Roman" w:hAnsi="Times New Roman" w:cs="Times New Roman"/>
          <w:sz w:val="24"/>
          <w:szCs w:val="24"/>
        </w:rPr>
        <w:t xml:space="preserve"> A long list of factors is provided to help businesses make this determination. However, </w:t>
      </w:r>
      <w:r w:rsidR="00D82B49">
        <w:rPr>
          <w:rFonts w:ascii="Times New Roman" w:hAnsi="Times New Roman" w:cs="Times New Roman"/>
          <w:sz w:val="24"/>
          <w:szCs w:val="24"/>
        </w:rPr>
        <w:t>testing organizations</w:t>
      </w:r>
      <w:r w:rsidR="00E0054E">
        <w:rPr>
          <w:rFonts w:ascii="Times New Roman" w:hAnsi="Times New Roman" w:cs="Times New Roman"/>
          <w:sz w:val="24"/>
          <w:szCs w:val="24"/>
        </w:rPr>
        <w:t xml:space="preserve"> </w:t>
      </w:r>
      <w:r w:rsidR="008B0D88">
        <w:rPr>
          <w:rFonts w:ascii="Times New Roman" w:hAnsi="Times New Roman" w:cs="Times New Roman"/>
          <w:sz w:val="24"/>
          <w:szCs w:val="24"/>
        </w:rPr>
        <w:t xml:space="preserve">have been </w:t>
      </w:r>
      <w:r w:rsidR="004F2B0D">
        <w:rPr>
          <w:rFonts w:ascii="Times New Roman" w:hAnsi="Times New Roman" w:cs="Times New Roman"/>
          <w:sz w:val="24"/>
          <w:szCs w:val="24"/>
        </w:rPr>
        <w:t>encounter</w:t>
      </w:r>
      <w:r w:rsidR="008B0D88">
        <w:rPr>
          <w:rFonts w:ascii="Times New Roman" w:hAnsi="Times New Roman" w:cs="Times New Roman"/>
          <w:sz w:val="24"/>
          <w:szCs w:val="24"/>
        </w:rPr>
        <w:t>ing</w:t>
      </w:r>
      <w:r w:rsidR="004F2B0D">
        <w:rPr>
          <w:rFonts w:ascii="Times New Roman" w:hAnsi="Times New Roman" w:cs="Times New Roman"/>
          <w:sz w:val="24"/>
          <w:szCs w:val="24"/>
        </w:rPr>
        <w:t xml:space="preserve"> requests made in bad faith or that </w:t>
      </w:r>
      <w:r w:rsidR="0046433C">
        <w:rPr>
          <w:rFonts w:ascii="Times New Roman" w:hAnsi="Times New Roman" w:cs="Times New Roman"/>
          <w:sz w:val="24"/>
          <w:szCs w:val="24"/>
        </w:rPr>
        <w:t xml:space="preserve">actually </w:t>
      </w:r>
      <w:r w:rsidR="008B0D88">
        <w:rPr>
          <w:rFonts w:ascii="Times New Roman" w:hAnsi="Times New Roman" w:cs="Times New Roman"/>
          <w:sz w:val="24"/>
          <w:szCs w:val="24"/>
        </w:rPr>
        <w:t xml:space="preserve">represent </w:t>
      </w:r>
      <w:r w:rsidR="004F2B0D">
        <w:rPr>
          <w:rFonts w:ascii="Times New Roman" w:hAnsi="Times New Roman" w:cs="Times New Roman"/>
          <w:sz w:val="24"/>
          <w:szCs w:val="24"/>
        </w:rPr>
        <w:t xml:space="preserve">attempts to circumvent testing fairness and validity procedures. </w:t>
      </w:r>
      <w:bookmarkStart w:id="5" w:name="_Hlk111980996"/>
      <w:r w:rsidR="0046433C">
        <w:rPr>
          <w:rFonts w:ascii="Times New Roman" w:hAnsi="Times New Roman" w:cs="Times New Roman"/>
          <w:sz w:val="24"/>
          <w:szCs w:val="24"/>
        </w:rPr>
        <w:t xml:space="preserve">Of </w:t>
      </w:r>
      <w:r w:rsidR="001A17B6">
        <w:rPr>
          <w:rFonts w:ascii="Times New Roman" w:hAnsi="Times New Roman" w:cs="Times New Roman"/>
          <w:sz w:val="24"/>
          <w:szCs w:val="24"/>
        </w:rPr>
        <w:t>part</w:t>
      </w:r>
      <w:r w:rsidR="0046433C">
        <w:rPr>
          <w:rFonts w:ascii="Times New Roman" w:hAnsi="Times New Roman" w:cs="Times New Roman"/>
          <w:sz w:val="24"/>
          <w:szCs w:val="24"/>
        </w:rPr>
        <w:t>i</w:t>
      </w:r>
      <w:r w:rsidR="001A17B6">
        <w:rPr>
          <w:rFonts w:ascii="Times New Roman" w:hAnsi="Times New Roman" w:cs="Times New Roman"/>
          <w:sz w:val="24"/>
          <w:szCs w:val="24"/>
        </w:rPr>
        <w:t>cular concern</w:t>
      </w:r>
      <w:r w:rsidR="0046433C">
        <w:rPr>
          <w:rFonts w:ascii="Times New Roman" w:hAnsi="Times New Roman" w:cs="Times New Roman"/>
          <w:sz w:val="24"/>
          <w:szCs w:val="24"/>
        </w:rPr>
        <w:t xml:space="preserve"> is</w:t>
      </w:r>
      <w:r w:rsidR="001A17B6">
        <w:rPr>
          <w:rFonts w:ascii="Times New Roman" w:hAnsi="Times New Roman" w:cs="Times New Roman"/>
          <w:sz w:val="24"/>
          <w:szCs w:val="24"/>
        </w:rPr>
        <w:t xml:space="preserve"> </w:t>
      </w:r>
      <w:r w:rsidR="0046433C">
        <w:rPr>
          <w:rFonts w:ascii="Times New Roman" w:hAnsi="Times New Roman" w:cs="Times New Roman"/>
          <w:sz w:val="24"/>
          <w:szCs w:val="24"/>
        </w:rPr>
        <w:lastRenderedPageBreak/>
        <w:t>S</w:t>
      </w:r>
      <w:r w:rsidR="001A17B6">
        <w:rPr>
          <w:rFonts w:ascii="Times New Roman" w:hAnsi="Times New Roman" w:cs="Times New Roman"/>
          <w:sz w:val="24"/>
          <w:szCs w:val="24"/>
        </w:rPr>
        <w:t>ubsection (</w:t>
      </w:r>
      <w:r w:rsidR="00B244F1">
        <w:rPr>
          <w:rFonts w:ascii="Times New Roman" w:hAnsi="Times New Roman" w:cs="Times New Roman"/>
          <w:sz w:val="24"/>
          <w:szCs w:val="24"/>
        </w:rPr>
        <w:t>2) that indicates “</w:t>
      </w:r>
      <w:r w:rsidR="00B244F1" w:rsidRPr="00B244F1">
        <w:rPr>
          <w:rFonts w:ascii="Times New Roman" w:hAnsi="Times New Roman" w:cs="Times New Roman"/>
          <w:sz w:val="24"/>
          <w:szCs w:val="24"/>
        </w:rPr>
        <w:t xml:space="preserve">If the business is not the source of the personal information and has no documentation to support the accuracy of the information, the </w:t>
      </w:r>
      <w:r w:rsidR="00B244F1" w:rsidRPr="00983B78">
        <w:rPr>
          <w:rFonts w:ascii="Times New Roman" w:hAnsi="Times New Roman" w:cs="Times New Roman"/>
          <w:i/>
          <w:iCs/>
          <w:sz w:val="24"/>
          <w:szCs w:val="24"/>
        </w:rPr>
        <w:t>consumer’s assertion of inaccuracy</w:t>
      </w:r>
      <w:r w:rsidR="00B244F1">
        <w:rPr>
          <w:rFonts w:ascii="Times New Roman" w:hAnsi="Times New Roman" w:cs="Times New Roman"/>
          <w:sz w:val="24"/>
          <w:szCs w:val="24"/>
        </w:rPr>
        <w:t xml:space="preserve"> </w:t>
      </w:r>
      <w:r w:rsidR="00B244F1" w:rsidRPr="00B244F1">
        <w:rPr>
          <w:rFonts w:ascii="Times New Roman" w:hAnsi="Times New Roman" w:cs="Times New Roman"/>
          <w:sz w:val="24"/>
          <w:szCs w:val="24"/>
        </w:rPr>
        <w:t>may be sufficient to establish that the personal information is inaccurate.</w:t>
      </w:r>
      <w:r w:rsidR="00B244F1">
        <w:rPr>
          <w:rFonts w:ascii="Times New Roman" w:hAnsi="Times New Roman" w:cs="Times New Roman"/>
          <w:sz w:val="24"/>
          <w:szCs w:val="24"/>
        </w:rPr>
        <w:t xml:space="preserve">” </w:t>
      </w:r>
      <w:bookmarkEnd w:id="5"/>
      <w:r w:rsidR="002D585E">
        <w:rPr>
          <w:rFonts w:ascii="Times New Roman" w:hAnsi="Times New Roman" w:cs="Times New Roman"/>
          <w:sz w:val="24"/>
          <w:szCs w:val="24"/>
        </w:rPr>
        <w:t xml:space="preserve">For </w:t>
      </w:r>
      <w:r w:rsidR="00CB3AB2">
        <w:rPr>
          <w:rFonts w:ascii="Times New Roman" w:hAnsi="Times New Roman" w:cs="Times New Roman"/>
          <w:sz w:val="24"/>
          <w:szCs w:val="24"/>
        </w:rPr>
        <w:t>the use of assessments to issue certifications</w:t>
      </w:r>
      <w:r w:rsidR="002D585E">
        <w:rPr>
          <w:rFonts w:ascii="Times New Roman" w:hAnsi="Times New Roman" w:cs="Times New Roman"/>
          <w:sz w:val="24"/>
          <w:szCs w:val="24"/>
        </w:rPr>
        <w:t xml:space="preserve"> and credentials,</w:t>
      </w:r>
      <w:r w:rsidR="00983B78">
        <w:rPr>
          <w:rFonts w:ascii="Times New Roman" w:hAnsi="Times New Roman" w:cs="Times New Roman"/>
          <w:sz w:val="24"/>
          <w:szCs w:val="24"/>
        </w:rPr>
        <w:t xml:space="preserve"> and other services offered by ATP Members,</w:t>
      </w:r>
      <w:r w:rsidR="002D585E">
        <w:rPr>
          <w:rFonts w:ascii="Times New Roman" w:hAnsi="Times New Roman" w:cs="Times New Roman"/>
          <w:sz w:val="24"/>
          <w:szCs w:val="24"/>
        </w:rPr>
        <w:t xml:space="preserve"> </w:t>
      </w:r>
      <w:r w:rsidR="00983B78">
        <w:rPr>
          <w:rFonts w:ascii="Times New Roman" w:hAnsi="Times New Roman" w:cs="Times New Roman"/>
          <w:sz w:val="24"/>
          <w:szCs w:val="24"/>
        </w:rPr>
        <w:t xml:space="preserve">scores, </w:t>
      </w:r>
      <w:r w:rsidR="003057A5">
        <w:rPr>
          <w:rFonts w:ascii="Times New Roman" w:hAnsi="Times New Roman" w:cs="Times New Roman"/>
          <w:sz w:val="24"/>
          <w:szCs w:val="24"/>
        </w:rPr>
        <w:t>results, reports, inferences</w:t>
      </w:r>
      <w:r w:rsidR="00983B78">
        <w:rPr>
          <w:rFonts w:ascii="Times New Roman" w:hAnsi="Times New Roman" w:cs="Times New Roman"/>
          <w:sz w:val="24"/>
          <w:szCs w:val="24"/>
        </w:rPr>
        <w:t xml:space="preserve">, etc. </w:t>
      </w:r>
      <w:r w:rsidR="008B0D88">
        <w:rPr>
          <w:rFonts w:ascii="Times New Roman" w:hAnsi="Times New Roman" w:cs="Times New Roman"/>
          <w:sz w:val="24"/>
          <w:szCs w:val="24"/>
        </w:rPr>
        <w:t>based on</w:t>
      </w:r>
      <w:r w:rsidR="003057A5">
        <w:rPr>
          <w:rFonts w:ascii="Times New Roman" w:hAnsi="Times New Roman" w:cs="Times New Roman"/>
          <w:sz w:val="24"/>
          <w:szCs w:val="24"/>
        </w:rPr>
        <w:t xml:space="preserve"> the consumer’s responses</w:t>
      </w:r>
      <w:r w:rsidR="00983B78">
        <w:rPr>
          <w:rFonts w:ascii="Times New Roman" w:hAnsi="Times New Roman" w:cs="Times New Roman"/>
          <w:sz w:val="24"/>
          <w:szCs w:val="24"/>
        </w:rPr>
        <w:t>, acts, or writings</w:t>
      </w:r>
      <w:r w:rsidR="003057A5">
        <w:rPr>
          <w:rFonts w:ascii="Times New Roman" w:hAnsi="Times New Roman" w:cs="Times New Roman"/>
          <w:sz w:val="24"/>
          <w:szCs w:val="24"/>
        </w:rPr>
        <w:t xml:space="preserve"> may come from service providers or contractors </w:t>
      </w:r>
      <w:r w:rsidR="00DA1B77">
        <w:rPr>
          <w:rFonts w:ascii="Times New Roman" w:hAnsi="Times New Roman" w:cs="Times New Roman"/>
          <w:sz w:val="24"/>
          <w:szCs w:val="24"/>
        </w:rPr>
        <w:t>who</w:t>
      </w:r>
      <w:r w:rsidR="003057A5">
        <w:rPr>
          <w:rFonts w:ascii="Times New Roman" w:hAnsi="Times New Roman" w:cs="Times New Roman"/>
          <w:sz w:val="24"/>
          <w:szCs w:val="24"/>
        </w:rPr>
        <w:t xml:space="preserve"> are </w:t>
      </w:r>
      <w:r w:rsidR="00DA1B77">
        <w:rPr>
          <w:rFonts w:ascii="Times New Roman" w:hAnsi="Times New Roman" w:cs="Times New Roman"/>
          <w:sz w:val="24"/>
          <w:szCs w:val="24"/>
        </w:rPr>
        <w:t xml:space="preserve">a critical element in </w:t>
      </w:r>
      <w:r w:rsidR="00130CAA">
        <w:rPr>
          <w:rFonts w:ascii="Times New Roman" w:hAnsi="Times New Roman" w:cs="Times New Roman"/>
          <w:sz w:val="24"/>
          <w:szCs w:val="24"/>
        </w:rPr>
        <w:t xml:space="preserve">the </w:t>
      </w:r>
      <w:r w:rsidR="003057A5">
        <w:rPr>
          <w:rFonts w:ascii="Times New Roman" w:hAnsi="Times New Roman" w:cs="Times New Roman"/>
          <w:sz w:val="24"/>
          <w:szCs w:val="24"/>
        </w:rPr>
        <w:t xml:space="preserve">assessment or credentialing process. </w:t>
      </w:r>
      <w:r w:rsidR="00983B78">
        <w:rPr>
          <w:rFonts w:ascii="Times New Roman" w:hAnsi="Times New Roman" w:cs="Times New Roman"/>
          <w:sz w:val="24"/>
          <w:szCs w:val="24"/>
        </w:rPr>
        <w:t>To permit a mere “consumer assertion”</w:t>
      </w:r>
      <w:r w:rsidR="00130CAA">
        <w:rPr>
          <w:rFonts w:ascii="Times New Roman" w:hAnsi="Times New Roman" w:cs="Times New Roman"/>
          <w:sz w:val="24"/>
          <w:szCs w:val="24"/>
        </w:rPr>
        <w:t xml:space="preserve"> to control the decision to delete </w:t>
      </w:r>
      <w:r w:rsidR="00F96A0A">
        <w:rPr>
          <w:rFonts w:ascii="Times New Roman" w:hAnsi="Times New Roman" w:cs="Times New Roman"/>
          <w:sz w:val="24"/>
          <w:szCs w:val="24"/>
        </w:rPr>
        <w:t xml:space="preserve">personal information </w:t>
      </w:r>
      <w:r w:rsidR="003021C3">
        <w:rPr>
          <w:rFonts w:ascii="Times New Roman" w:hAnsi="Times New Roman" w:cs="Times New Roman"/>
          <w:sz w:val="24"/>
          <w:szCs w:val="24"/>
        </w:rPr>
        <w:t>would</w:t>
      </w:r>
      <w:r w:rsidR="00983B78">
        <w:rPr>
          <w:rFonts w:ascii="Times New Roman" w:hAnsi="Times New Roman" w:cs="Times New Roman"/>
          <w:sz w:val="24"/>
          <w:szCs w:val="24"/>
        </w:rPr>
        <w:t xml:space="preserve"> have </w:t>
      </w:r>
      <w:r w:rsidR="00F712D1">
        <w:rPr>
          <w:rFonts w:ascii="Times New Roman" w:hAnsi="Times New Roman" w:cs="Times New Roman"/>
          <w:sz w:val="24"/>
          <w:szCs w:val="24"/>
        </w:rPr>
        <w:t xml:space="preserve">potentially </w:t>
      </w:r>
      <w:r w:rsidR="00983B78">
        <w:rPr>
          <w:rFonts w:ascii="Times New Roman" w:hAnsi="Times New Roman" w:cs="Times New Roman"/>
          <w:sz w:val="24"/>
          <w:szCs w:val="24"/>
        </w:rPr>
        <w:t xml:space="preserve">devastating consequences on </w:t>
      </w:r>
      <w:r w:rsidR="008B0D88">
        <w:rPr>
          <w:rFonts w:ascii="Times New Roman" w:hAnsi="Times New Roman" w:cs="Times New Roman"/>
          <w:sz w:val="24"/>
          <w:szCs w:val="24"/>
        </w:rPr>
        <w:t>a testing organization’s</w:t>
      </w:r>
      <w:r w:rsidR="00983B78">
        <w:rPr>
          <w:rFonts w:ascii="Times New Roman" w:hAnsi="Times New Roman" w:cs="Times New Roman"/>
          <w:sz w:val="24"/>
          <w:szCs w:val="24"/>
        </w:rPr>
        <w:t xml:space="preserve"> assessments and related products and services.  </w:t>
      </w:r>
      <w:r w:rsidR="0097415B">
        <w:rPr>
          <w:rFonts w:ascii="Times New Roman" w:hAnsi="Times New Roman" w:cs="Times New Roman"/>
          <w:sz w:val="24"/>
          <w:szCs w:val="24"/>
        </w:rPr>
        <w:t xml:space="preserve"> The </w:t>
      </w:r>
      <w:r w:rsidR="00170C5A">
        <w:rPr>
          <w:rFonts w:ascii="Times New Roman" w:hAnsi="Times New Roman" w:cs="Times New Roman"/>
          <w:sz w:val="24"/>
          <w:szCs w:val="24"/>
        </w:rPr>
        <w:t xml:space="preserve">ATP is very concerned </w:t>
      </w:r>
      <w:r w:rsidR="007A745A">
        <w:rPr>
          <w:rFonts w:ascii="Times New Roman" w:hAnsi="Times New Roman" w:cs="Times New Roman"/>
          <w:sz w:val="24"/>
          <w:szCs w:val="24"/>
        </w:rPr>
        <w:t xml:space="preserve">that the business must “rebut” the </w:t>
      </w:r>
      <w:r w:rsidR="001A1596">
        <w:rPr>
          <w:rFonts w:ascii="Times New Roman" w:hAnsi="Times New Roman" w:cs="Times New Roman"/>
          <w:sz w:val="24"/>
          <w:szCs w:val="24"/>
        </w:rPr>
        <w:t>test taker’s/</w:t>
      </w:r>
      <w:r w:rsidR="007A745A">
        <w:rPr>
          <w:rFonts w:ascii="Times New Roman" w:hAnsi="Times New Roman" w:cs="Times New Roman"/>
          <w:sz w:val="24"/>
          <w:szCs w:val="24"/>
        </w:rPr>
        <w:t>consumer’s assertions</w:t>
      </w:r>
      <w:r w:rsidR="000A3A5C">
        <w:rPr>
          <w:rFonts w:ascii="Times New Roman" w:hAnsi="Times New Roman" w:cs="Times New Roman"/>
          <w:sz w:val="24"/>
          <w:szCs w:val="24"/>
        </w:rPr>
        <w:t xml:space="preserve"> which </w:t>
      </w:r>
      <w:r w:rsidR="00C12FAD">
        <w:rPr>
          <w:rFonts w:ascii="Times New Roman" w:hAnsi="Times New Roman" w:cs="Times New Roman"/>
          <w:sz w:val="24"/>
          <w:szCs w:val="24"/>
        </w:rPr>
        <w:t xml:space="preserve">go to the </w:t>
      </w:r>
      <w:r w:rsidR="00F83E56">
        <w:rPr>
          <w:rFonts w:ascii="Times New Roman" w:hAnsi="Times New Roman" w:cs="Times New Roman"/>
          <w:sz w:val="24"/>
          <w:szCs w:val="24"/>
        </w:rPr>
        <w:t xml:space="preserve">very </w:t>
      </w:r>
      <w:r w:rsidR="00C12FAD">
        <w:rPr>
          <w:rFonts w:ascii="Times New Roman" w:hAnsi="Times New Roman" w:cs="Times New Roman"/>
          <w:sz w:val="24"/>
          <w:szCs w:val="24"/>
        </w:rPr>
        <w:t xml:space="preserve">heart of the testing </w:t>
      </w:r>
      <w:r w:rsidR="003021C3">
        <w:rPr>
          <w:rFonts w:ascii="Times New Roman" w:hAnsi="Times New Roman" w:cs="Times New Roman"/>
          <w:sz w:val="24"/>
          <w:szCs w:val="24"/>
        </w:rPr>
        <w:t xml:space="preserve">psychometric </w:t>
      </w:r>
      <w:r w:rsidR="00C12FAD">
        <w:rPr>
          <w:rFonts w:ascii="Times New Roman" w:hAnsi="Times New Roman" w:cs="Times New Roman"/>
          <w:sz w:val="24"/>
          <w:szCs w:val="24"/>
        </w:rPr>
        <w:t>process, developed by an</w:t>
      </w:r>
      <w:r w:rsidR="00F83E56">
        <w:rPr>
          <w:rFonts w:ascii="Times New Roman" w:hAnsi="Times New Roman" w:cs="Times New Roman"/>
          <w:sz w:val="24"/>
          <w:szCs w:val="24"/>
        </w:rPr>
        <w:t>d</w:t>
      </w:r>
      <w:r w:rsidR="00C12FAD">
        <w:rPr>
          <w:rFonts w:ascii="Times New Roman" w:hAnsi="Times New Roman" w:cs="Times New Roman"/>
          <w:sz w:val="24"/>
          <w:szCs w:val="24"/>
        </w:rPr>
        <w:t xml:space="preserve"> under the </w:t>
      </w:r>
      <w:r w:rsidR="00F83E56">
        <w:rPr>
          <w:rFonts w:ascii="Times New Roman" w:hAnsi="Times New Roman" w:cs="Times New Roman"/>
          <w:sz w:val="24"/>
          <w:szCs w:val="24"/>
        </w:rPr>
        <w:t xml:space="preserve">professional </w:t>
      </w:r>
      <w:r w:rsidR="00C12FAD">
        <w:rPr>
          <w:rFonts w:ascii="Times New Roman" w:hAnsi="Times New Roman" w:cs="Times New Roman"/>
          <w:sz w:val="24"/>
          <w:szCs w:val="24"/>
        </w:rPr>
        <w:t>control of the testing organization</w:t>
      </w:r>
      <w:r w:rsidR="00086E3E">
        <w:rPr>
          <w:rFonts w:ascii="Times New Roman" w:hAnsi="Times New Roman" w:cs="Times New Roman"/>
          <w:sz w:val="24"/>
          <w:szCs w:val="24"/>
        </w:rPr>
        <w:t xml:space="preserve">, even if it is carried out </w:t>
      </w:r>
      <w:r w:rsidR="0066687F">
        <w:rPr>
          <w:rFonts w:ascii="Times New Roman" w:hAnsi="Times New Roman" w:cs="Times New Roman"/>
          <w:sz w:val="24"/>
          <w:szCs w:val="24"/>
        </w:rPr>
        <w:t xml:space="preserve">by </w:t>
      </w:r>
      <w:r w:rsidR="00086E3E">
        <w:rPr>
          <w:rFonts w:ascii="Times New Roman" w:hAnsi="Times New Roman" w:cs="Times New Roman"/>
          <w:sz w:val="24"/>
          <w:szCs w:val="24"/>
        </w:rPr>
        <w:t xml:space="preserve">a service provider.  </w:t>
      </w:r>
      <w:r w:rsidR="00326C0D">
        <w:rPr>
          <w:rFonts w:ascii="Times New Roman" w:hAnsi="Times New Roman" w:cs="Times New Roman"/>
          <w:sz w:val="24"/>
          <w:szCs w:val="24"/>
        </w:rPr>
        <w:t>The proposal would place an</w:t>
      </w:r>
      <w:r w:rsidR="007A745A">
        <w:rPr>
          <w:rFonts w:ascii="Times New Roman" w:hAnsi="Times New Roman" w:cs="Times New Roman"/>
          <w:sz w:val="24"/>
          <w:szCs w:val="24"/>
        </w:rPr>
        <w:t xml:space="preserve"> extremely onerous and complex </w:t>
      </w:r>
      <w:r w:rsidR="00326C0D">
        <w:rPr>
          <w:rFonts w:ascii="Times New Roman" w:hAnsi="Times New Roman" w:cs="Times New Roman"/>
          <w:sz w:val="24"/>
          <w:szCs w:val="24"/>
        </w:rPr>
        <w:t>burden on the testing organization to overcome a mere “assertion”</w:t>
      </w:r>
      <w:r w:rsidR="007A745A">
        <w:rPr>
          <w:rFonts w:ascii="Times New Roman" w:hAnsi="Times New Roman" w:cs="Times New Roman"/>
          <w:sz w:val="24"/>
          <w:szCs w:val="24"/>
        </w:rPr>
        <w:t xml:space="preserve"> and we urge the Agency to remove </w:t>
      </w:r>
      <w:r w:rsidR="00086E3E">
        <w:rPr>
          <w:rFonts w:ascii="Times New Roman" w:hAnsi="Times New Roman" w:cs="Times New Roman"/>
          <w:sz w:val="24"/>
          <w:szCs w:val="24"/>
        </w:rPr>
        <w:t>it</w:t>
      </w:r>
      <w:r w:rsidR="007A745A">
        <w:rPr>
          <w:rFonts w:ascii="Times New Roman" w:hAnsi="Times New Roman" w:cs="Times New Roman"/>
          <w:sz w:val="24"/>
          <w:szCs w:val="24"/>
        </w:rPr>
        <w:t xml:space="preserve"> from the Proposed Regulations. </w:t>
      </w:r>
    </w:p>
    <w:p w14:paraId="3A3184E1" w14:textId="1F7CD90C" w:rsidR="00904564" w:rsidRDefault="0097415B" w:rsidP="00B244F1">
      <w:pPr>
        <w:ind w:firstLine="450"/>
        <w:rPr>
          <w:rFonts w:ascii="Times New Roman" w:hAnsi="Times New Roman" w:cs="Times New Roman"/>
          <w:sz w:val="24"/>
          <w:szCs w:val="24"/>
        </w:rPr>
      </w:pPr>
      <w:r>
        <w:rPr>
          <w:rFonts w:ascii="Times New Roman" w:hAnsi="Times New Roman" w:cs="Times New Roman"/>
          <w:sz w:val="24"/>
          <w:szCs w:val="24"/>
        </w:rPr>
        <w:t xml:space="preserve">f). </w:t>
      </w:r>
      <w:r w:rsidR="00086E3E">
        <w:rPr>
          <w:rFonts w:ascii="Times New Roman" w:hAnsi="Times New Roman" w:cs="Times New Roman"/>
          <w:sz w:val="24"/>
          <w:szCs w:val="24"/>
        </w:rPr>
        <w:t>Similarly</w:t>
      </w:r>
      <w:r>
        <w:rPr>
          <w:rFonts w:ascii="Times New Roman" w:hAnsi="Times New Roman" w:cs="Times New Roman"/>
          <w:sz w:val="24"/>
          <w:szCs w:val="24"/>
        </w:rPr>
        <w:t>,</w:t>
      </w:r>
      <w:r w:rsidR="00904564">
        <w:rPr>
          <w:rFonts w:ascii="Times New Roman" w:hAnsi="Times New Roman" w:cs="Times New Roman"/>
          <w:sz w:val="24"/>
          <w:szCs w:val="24"/>
        </w:rPr>
        <w:t xml:space="preserve"> </w:t>
      </w:r>
      <w:r w:rsidR="00FB4C48">
        <w:rPr>
          <w:rFonts w:ascii="Times New Roman" w:hAnsi="Times New Roman" w:cs="Times New Roman"/>
          <w:sz w:val="24"/>
          <w:szCs w:val="24"/>
        </w:rPr>
        <w:t xml:space="preserve">the ATP </w:t>
      </w:r>
      <w:r w:rsidR="00F5142B">
        <w:rPr>
          <w:rFonts w:ascii="Times New Roman" w:hAnsi="Times New Roman" w:cs="Times New Roman"/>
          <w:sz w:val="24"/>
          <w:szCs w:val="24"/>
        </w:rPr>
        <w:t xml:space="preserve">is very concerned about the obligations imposed on businesses </w:t>
      </w:r>
      <w:r w:rsidR="00904564">
        <w:rPr>
          <w:rFonts w:ascii="Times New Roman" w:hAnsi="Times New Roman" w:cs="Times New Roman"/>
          <w:sz w:val="24"/>
          <w:szCs w:val="24"/>
        </w:rPr>
        <w:t xml:space="preserve">in </w:t>
      </w:r>
      <w:bookmarkStart w:id="6" w:name="_Hlk111981056"/>
      <w:r w:rsidR="00904564">
        <w:rPr>
          <w:rFonts w:ascii="Times New Roman" w:hAnsi="Times New Roman" w:cs="Times New Roman"/>
          <w:sz w:val="24"/>
          <w:szCs w:val="24"/>
        </w:rPr>
        <w:t>Section</w:t>
      </w:r>
      <w:r w:rsidR="009C6114">
        <w:rPr>
          <w:rFonts w:ascii="Times New Roman" w:hAnsi="Times New Roman" w:cs="Times New Roman"/>
          <w:sz w:val="24"/>
          <w:szCs w:val="24"/>
        </w:rPr>
        <w:t xml:space="preserve"> 7023 </w:t>
      </w:r>
      <w:r w:rsidR="0059176B">
        <w:rPr>
          <w:rFonts w:ascii="Times New Roman" w:hAnsi="Times New Roman" w:cs="Times New Roman"/>
          <w:sz w:val="24"/>
          <w:szCs w:val="24"/>
        </w:rPr>
        <w:t>(f)(4)</w:t>
      </w:r>
      <w:r w:rsidR="00904564">
        <w:rPr>
          <w:rFonts w:ascii="Times New Roman" w:hAnsi="Times New Roman" w:cs="Times New Roman"/>
          <w:sz w:val="24"/>
          <w:szCs w:val="24"/>
        </w:rPr>
        <w:t xml:space="preserve"> of the Proposed Regulations</w:t>
      </w:r>
      <w:r w:rsidR="00F5142B">
        <w:rPr>
          <w:rFonts w:ascii="Times New Roman" w:hAnsi="Times New Roman" w:cs="Times New Roman"/>
          <w:sz w:val="24"/>
          <w:szCs w:val="24"/>
        </w:rPr>
        <w:t xml:space="preserve"> </w:t>
      </w:r>
      <w:r w:rsidR="0091493E">
        <w:rPr>
          <w:rFonts w:ascii="Times New Roman" w:hAnsi="Times New Roman" w:cs="Times New Roman"/>
          <w:sz w:val="24"/>
          <w:szCs w:val="24"/>
        </w:rPr>
        <w:t xml:space="preserve">related to a consumer’s </w:t>
      </w:r>
      <w:r w:rsidR="00F5142B">
        <w:rPr>
          <w:rFonts w:ascii="Times New Roman" w:hAnsi="Times New Roman" w:cs="Times New Roman"/>
          <w:sz w:val="24"/>
          <w:szCs w:val="24"/>
        </w:rPr>
        <w:t>request to correct about a consumer’s health</w:t>
      </w:r>
      <w:r w:rsidR="00CF70F6">
        <w:rPr>
          <w:rFonts w:ascii="Times New Roman" w:hAnsi="Times New Roman" w:cs="Times New Roman"/>
          <w:sz w:val="24"/>
          <w:szCs w:val="24"/>
        </w:rPr>
        <w:t>:</w:t>
      </w:r>
      <w:r w:rsidR="00904564">
        <w:rPr>
          <w:rFonts w:ascii="Times New Roman" w:hAnsi="Times New Roman" w:cs="Times New Roman"/>
          <w:sz w:val="24"/>
          <w:szCs w:val="24"/>
        </w:rPr>
        <w:t xml:space="preserve"> </w:t>
      </w:r>
      <w:bookmarkEnd w:id="6"/>
      <w:r w:rsidR="00904564">
        <w:rPr>
          <w:rFonts w:ascii="Times New Roman" w:hAnsi="Times New Roman" w:cs="Times New Roman"/>
          <w:sz w:val="24"/>
          <w:szCs w:val="24"/>
        </w:rPr>
        <w:t>“if a business rejects a request to correct conc</w:t>
      </w:r>
      <w:r w:rsidR="00904564" w:rsidRPr="00904564">
        <w:rPr>
          <w:rFonts w:ascii="Times New Roman" w:hAnsi="Times New Roman" w:cs="Times New Roman"/>
          <w:sz w:val="24"/>
          <w:szCs w:val="24"/>
        </w:rPr>
        <w:t xml:space="preserve">erning a consumer's health, </w:t>
      </w:r>
      <w:r w:rsidR="00904564" w:rsidRPr="00904564">
        <w:rPr>
          <w:rFonts w:ascii="Times New Roman" w:hAnsi="Times New Roman" w:cs="Times New Roman"/>
          <w:i/>
          <w:iCs/>
          <w:sz w:val="24"/>
          <w:szCs w:val="24"/>
        </w:rPr>
        <w:t xml:space="preserve">the right of a consumer </w:t>
      </w:r>
      <w:r w:rsidR="00904564" w:rsidRPr="0091493E">
        <w:rPr>
          <w:rFonts w:ascii="Times New Roman" w:hAnsi="Times New Roman" w:cs="Times New Roman"/>
          <w:i/>
          <w:iCs/>
          <w:sz w:val="24"/>
          <w:szCs w:val="24"/>
          <w:u w:val="single"/>
        </w:rPr>
        <w:t>to provide a written addendum</w:t>
      </w:r>
      <w:r w:rsidR="00904564" w:rsidRPr="00904564">
        <w:rPr>
          <w:rFonts w:ascii="Times New Roman" w:hAnsi="Times New Roman" w:cs="Times New Roman"/>
          <w:i/>
          <w:iCs/>
          <w:sz w:val="24"/>
          <w:szCs w:val="24"/>
        </w:rPr>
        <w:t xml:space="preserve"> to the business with respect to any item or statement regarding any such personal information that the consumer believes to be incomplete or incorrec</w:t>
      </w:r>
      <w:r w:rsidR="00904564" w:rsidRPr="00904564">
        <w:rPr>
          <w:rFonts w:ascii="Times New Roman" w:hAnsi="Times New Roman" w:cs="Times New Roman"/>
          <w:sz w:val="24"/>
          <w:szCs w:val="24"/>
        </w:rPr>
        <w:t xml:space="preserve">t. The </w:t>
      </w:r>
      <w:r w:rsidR="0077574C">
        <w:rPr>
          <w:rFonts w:ascii="Times New Roman" w:hAnsi="Times New Roman" w:cs="Times New Roman"/>
          <w:sz w:val="24"/>
          <w:szCs w:val="24"/>
        </w:rPr>
        <w:t xml:space="preserve">proposal would limit such an </w:t>
      </w:r>
      <w:r w:rsidR="00904564" w:rsidRPr="00904564">
        <w:rPr>
          <w:rFonts w:ascii="Times New Roman" w:hAnsi="Times New Roman" w:cs="Times New Roman"/>
          <w:sz w:val="24"/>
          <w:szCs w:val="24"/>
        </w:rPr>
        <w:t xml:space="preserve">addendum to 250 words per alleged </w:t>
      </w:r>
      <w:r w:rsidR="009D7B0B">
        <w:rPr>
          <w:rFonts w:ascii="Times New Roman" w:hAnsi="Times New Roman" w:cs="Times New Roman"/>
          <w:sz w:val="24"/>
          <w:szCs w:val="24"/>
        </w:rPr>
        <w:t xml:space="preserve">incomplete </w:t>
      </w:r>
      <w:r w:rsidR="00904564" w:rsidRPr="00904564">
        <w:rPr>
          <w:rFonts w:ascii="Times New Roman" w:hAnsi="Times New Roman" w:cs="Times New Roman"/>
          <w:sz w:val="24"/>
          <w:szCs w:val="24"/>
        </w:rPr>
        <w:t>or incorrect item and shall clearly indicate in writing that the consumer requests the addendum to be made a part of the consumer's record.</w:t>
      </w:r>
      <w:r w:rsidR="00904564">
        <w:rPr>
          <w:rFonts w:ascii="Times New Roman" w:hAnsi="Times New Roman" w:cs="Times New Roman"/>
          <w:sz w:val="24"/>
          <w:szCs w:val="24"/>
        </w:rPr>
        <w:t xml:space="preserve"> The ATP objects to this </w:t>
      </w:r>
      <w:r w:rsidR="006619B8">
        <w:rPr>
          <w:rFonts w:ascii="Times New Roman" w:hAnsi="Times New Roman" w:cs="Times New Roman"/>
          <w:sz w:val="24"/>
          <w:szCs w:val="24"/>
        </w:rPr>
        <w:t>requirement</w:t>
      </w:r>
      <w:r w:rsidR="009D7B0B">
        <w:rPr>
          <w:rFonts w:ascii="Times New Roman" w:hAnsi="Times New Roman" w:cs="Times New Roman"/>
          <w:sz w:val="24"/>
          <w:szCs w:val="24"/>
        </w:rPr>
        <w:t xml:space="preserve">. For </w:t>
      </w:r>
      <w:r w:rsidR="00723389">
        <w:rPr>
          <w:rFonts w:ascii="Times New Roman" w:hAnsi="Times New Roman" w:cs="Times New Roman"/>
          <w:sz w:val="24"/>
          <w:szCs w:val="24"/>
        </w:rPr>
        <w:t xml:space="preserve"> </w:t>
      </w:r>
      <w:r w:rsidR="003330A8">
        <w:rPr>
          <w:rFonts w:ascii="Times New Roman" w:hAnsi="Times New Roman" w:cs="Times New Roman"/>
          <w:sz w:val="24"/>
          <w:szCs w:val="24"/>
        </w:rPr>
        <w:t xml:space="preserve">example, </w:t>
      </w:r>
      <w:r w:rsidR="00366F37">
        <w:rPr>
          <w:rFonts w:ascii="Times New Roman" w:hAnsi="Times New Roman" w:cs="Times New Roman"/>
          <w:sz w:val="24"/>
          <w:szCs w:val="24"/>
        </w:rPr>
        <w:t xml:space="preserve">when </w:t>
      </w:r>
      <w:r w:rsidR="00C360C9">
        <w:rPr>
          <w:rFonts w:ascii="Times New Roman" w:hAnsi="Times New Roman" w:cs="Times New Roman"/>
          <w:sz w:val="24"/>
          <w:szCs w:val="24"/>
        </w:rPr>
        <w:t xml:space="preserve">a </w:t>
      </w:r>
      <w:r w:rsidR="00366F37">
        <w:rPr>
          <w:rFonts w:ascii="Times New Roman" w:hAnsi="Times New Roman" w:cs="Times New Roman"/>
          <w:sz w:val="24"/>
          <w:szCs w:val="24"/>
        </w:rPr>
        <w:t>health</w:t>
      </w:r>
      <w:r w:rsidR="002A63CA">
        <w:rPr>
          <w:rFonts w:ascii="Times New Roman" w:hAnsi="Times New Roman" w:cs="Times New Roman"/>
          <w:sz w:val="24"/>
          <w:szCs w:val="24"/>
        </w:rPr>
        <w:t>-related</w:t>
      </w:r>
      <w:r w:rsidR="00C360C9">
        <w:rPr>
          <w:rFonts w:ascii="Times New Roman" w:hAnsi="Times New Roman" w:cs="Times New Roman"/>
          <w:sz w:val="24"/>
          <w:szCs w:val="24"/>
        </w:rPr>
        <w:t xml:space="preserve"> assessment is involved, the </w:t>
      </w:r>
      <w:r w:rsidR="004509DD">
        <w:rPr>
          <w:rFonts w:ascii="Times New Roman" w:hAnsi="Times New Roman" w:cs="Times New Roman"/>
          <w:sz w:val="24"/>
          <w:szCs w:val="24"/>
        </w:rPr>
        <w:t xml:space="preserve">test </w:t>
      </w:r>
      <w:r w:rsidR="003C250B">
        <w:rPr>
          <w:rFonts w:ascii="Times New Roman" w:hAnsi="Times New Roman" w:cs="Times New Roman"/>
          <w:sz w:val="24"/>
          <w:szCs w:val="24"/>
        </w:rPr>
        <w:t>results/</w:t>
      </w:r>
      <w:r w:rsidR="004509DD">
        <w:rPr>
          <w:rFonts w:ascii="Times New Roman" w:hAnsi="Times New Roman" w:cs="Times New Roman"/>
          <w:sz w:val="24"/>
          <w:szCs w:val="24"/>
        </w:rPr>
        <w:t xml:space="preserve">outcomes are NOT personal information supplied by the individual test taker, but </w:t>
      </w:r>
      <w:r w:rsidR="003C250B">
        <w:rPr>
          <w:rFonts w:ascii="Times New Roman" w:hAnsi="Times New Roman" w:cs="Times New Roman"/>
          <w:sz w:val="24"/>
          <w:szCs w:val="24"/>
        </w:rPr>
        <w:t xml:space="preserve">rather </w:t>
      </w:r>
      <w:r w:rsidR="006E18FC">
        <w:rPr>
          <w:rFonts w:ascii="Times New Roman" w:hAnsi="Times New Roman" w:cs="Times New Roman"/>
          <w:sz w:val="24"/>
          <w:szCs w:val="24"/>
        </w:rPr>
        <w:t xml:space="preserve">are </w:t>
      </w:r>
      <w:r w:rsidR="003C250B">
        <w:rPr>
          <w:rFonts w:ascii="Times New Roman" w:hAnsi="Times New Roman" w:cs="Times New Roman"/>
          <w:sz w:val="24"/>
          <w:szCs w:val="24"/>
        </w:rPr>
        <w:t xml:space="preserve">derived </w:t>
      </w:r>
      <w:r w:rsidR="006C04C0">
        <w:rPr>
          <w:rFonts w:ascii="Times New Roman" w:hAnsi="Times New Roman" w:cs="Times New Roman"/>
          <w:sz w:val="24"/>
          <w:szCs w:val="24"/>
        </w:rPr>
        <w:t>by the testing organization (or the clinician using the test) – it is not appropriate to enable the test taker to challenge test results</w:t>
      </w:r>
      <w:r w:rsidR="006E18FC">
        <w:rPr>
          <w:rFonts w:ascii="Times New Roman" w:hAnsi="Times New Roman" w:cs="Times New Roman"/>
          <w:sz w:val="24"/>
          <w:szCs w:val="24"/>
        </w:rPr>
        <w:t xml:space="preserve"> that are fundamental to the need for the test</w:t>
      </w:r>
      <w:r w:rsidR="00767343">
        <w:rPr>
          <w:rFonts w:ascii="Times New Roman" w:hAnsi="Times New Roman" w:cs="Times New Roman"/>
          <w:sz w:val="24"/>
          <w:szCs w:val="24"/>
        </w:rPr>
        <w:t xml:space="preserve">; this is akin to </w:t>
      </w:r>
      <w:r w:rsidR="009629F8">
        <w:rPr>
          <w:rFonts w:ascii="Times New Roman" w:hAnsi="Times New Roman" w:cs="Times New Roman"/>
          <w:sz w:val="24"/>
          <w:szCs w:val="24"/>
        </w:rPr>
        <w:t>saying a</w:t>
      </w:r>
      <w:r w:rsidR="00767343">
        <w:rPr>
          <w:rFonts w:ascii="Times New Roman" w:hAnsi="Times New Roman" w:cs="Times New Roman"/>
          <w:sz w:val="24"/>
          <w:szCs w:val="24"/>
        </w:rPr>
        <w:t xml:space="preserve"> student </w:t>
      </w:r>
      <w:r w:rsidR="009629F8">
        <w:rPr>
          <w:rFonts w:ascii="Times New Roman" w:hAnsi="Times New Roman" w:cs="Times New Roman"/>
          <w:sz w:val="24"/>
          <w:szCs w:val="24"/>
        </w:rPr>
        <w:t>may</w:t>
      </w:r>
      <w:r w:rsidR="00767343">
        <w:rPr>
          <w:rFonts w:ascii="Times New Roman" w:hAnsi="Times New Roman" w:cs="Times New Roman"/>
          <w:sz w:val="24"/>
          <w:szCs w:val="24"/>
        </w:rPr>
        <w:t xml:space="preserve"> challenge th</w:t>
      </w:r>
      <w:r w:rsidR="002F53A7">
        <w:rPr>
          <w:rFonts w:ascii="Times New Roman" w:hAnsi="Times New Roman" w:cs="Times New Roman"/>
          <w:sz w:val="24"/>
          <w:szCs w:val="24"/>
        </w:rPr>
        <w:t xml:space="preserve">e </w:t>
      </w:r>
      <w:r w:rsidR="00767343">
        <w:rPr>
          <w:rFonts w:ascii="Times New Roman" w:hAnsi="Times New Roman" w:cs="Times New Roman"/>
          <w:sz w:val="24"/>
          <w:szCs w:val="24"/>
        </w:rPr>
        <w:t>scor</w:t>
      </w:r>
      <w:r w:rsidR="009F7450">
        <w:rPr>
          <w:rFonts w:ascii="Times New Roman" w:hAnsi="Times New Roman" w:cs="Times New Roman"/>
          <w:sz w:val="24"/>
          <w:szCs w:val="24"/>
        </w:rPr>
        <w:t>e</w:t>
      </w:r>
      <w:r w:rsidR="00767343">
        <w:rPr>
          <w:rFonts w:ascii="Times New Roman" w:hAnsi="Times New Roman" w:cs="Times New Roman"/>
          <w:sz w:val="24"/>
          <w:szCs w:val="24"/>
        </w:rPr>
        <w:t xml:space="preserve"> </w:t>
      </w:r>
      <w:r w:rsidR="002F53A7">
        <w:rPr>
          <w:rFonts w:ascii="Times New Roman" w:hAnsi="Times New Roman" w:cs="Times New Roman"/>
          <w:sz w:val="24"/>
          <w:szCs w:val="24"/>
        </w:rPr>
        <w:t>o</w:t>
      </w:r>
      <w:r w:rsidR="009F7450">
        <w:rPr>
          <w:rFonts w:ascii="Times New Roman" w:hAnsi="Times New Roman" w:cs="Times New Roman"/>
          <w:sz w:val="24"/>
          <w:szCs w:val="24"/>
        </w:rPr>
        <w:t>n</w:t>
      </w:r>
      <w:r w:rsidR="002F53A7">
        <w:rPr>
          <w:rFonts w:ascii="Times New Roman" w:hAnsi="Times New Roman" w:cs="Times New Roman"/>
          <w:sz w:val="24"/>
          <w:szCs w:val="24"/>
        </w:rPr>
        <w:t xml:space="preserve"> </w:t>
      </w:r>
      <w:r w:rsidR="00767343">
        <w:rPr>
          <w:rFonts w:ascii="Times New Roman" w:hAnsi="Times New Roman" w:cs="Times New Roman"/>
          <w:sz w:val="24"/>
          <w:szCs w:val="24"/>
        </w:rPr>
        <w:t xml:space="preserve">a </w:t>
      </w:r>
      <w:r w:rsidR="002F53A7">
        <w:rPr>
          <w:rFonts w:ascii="Times New Roman" w:hAnsi="Times New Roman" w:cs="Times New Roman"/>
          <w:sz w:val="24"/>
          <w:szCs w:val="24"/>
        </w:rPr>
        <w:t>math</w:t>
      </w:r>
      <w:r w:rsidR="00767343">
        <w:rPr>
          <w:rFonts w:ascii="Times New Roman" w:hAnsi="Times New Roman" w:cs="Times New Roman"/>
          <w:sz w:val="24"/>
          <w:szCs w:val="24"/>
        </w:rPr>
        <w:t xml:space="preserve"> test by alleging that the </w:t>
      </w:r>
      <w:r w:rsidR="009629F8">
        <w:rPr>
          <w:rFonts w:ascii="Times New Roman" w:hAnsi="Times New Roman" w:cs="Times New Roman"/>
          <w:sz w:val="24"/>
          <w:szCs w:val="24"/>
        </w:rPr>
        <w:t xml:space="preserve">actual </w:t>
      </w:r>
      <w:r w:rsidR="00630684">
        <w:rPr>
          <w:rFonts w:ascii="Times New Roman" w:hAnsi="Times New Roman" w:cs="Times New Roman"/>
          <w:sz w:val="24"/>
          <w:szCs w:val="24"/>
        </w:rPr>
        <w:t>results should be</w:t>
      </w:r>
      <w:r w:rsidR="009629F8">
        <w:rPr>
          <w:rFonts w:ascii="Times New Roman" w:hAnsi="Times New Roman" w:cs="Times New Roman"/>
          <w:sz w:val="24"/>
          <w:szCs w:val="24"/>
        </w:rPr>
        <w:t xml:space="preserve"> different</w:t>
      </w:r>
      <w:r w:rsidR="006E18FC">
        <w:rPr>
          <w:rFonts w:ascii="Times New Roman" w:hAnsi="Times New Roman" w:cs="Times New Roman"/>
          <w:sz w:val="24"/>
          <w:szCs w:val="24"/>
        </w:rPr>
        <w:t>.</w:t>
      </w:r>
      <w:r w:rsidR="006C04C0">
        <w:rPr>
          <w:rFonts w:ascii="Times New Roman" w:hAnsi="Times New Roman" w:cs="Times New Roman"/>
          <w:sz w:val="24"/>
          <w:szCs w:val="24"/>
        </w:rPr>
        <w:t xml:space="preserve">  </w:t>
      </w:r>
      <w:r w:rsidR="00E4470E">
        <w:rPr>
          <w:rFonts w:ascii="Times New Roman" w:hAnsi="Times New Roman" w:cs="Times New Roman"/>
          <w:sz w:val="24"/>
          <w:szCs w:val="24"/>
        </w:rPr>
        <w:t xml:space="preserve">The </w:t>
      </w:r>
      <w:r w:rsidR="00B53364">
        <w:rPr>
          <w:rFonts w:ascii="Times New Roman" w:hAnsi="Times New Roman" w:cs="Times New Roman"/>
          <w:sz w:val="24"/>
          <w:szCs w:val="24"/>
        </w:rPr>
        <w:t>second</w:t>
      </w:r>
      <w:r w:rsidR="00E4470E">
        <w:rPr>
          <w:rFonts w:ascii="Times New Roman" w:hAnsi="Times New Roman" w:cs="Times New Roman"/>
          <w:sz w:val="24"/>
          <w:szCs w:val="24"/>
        </w:rPr>
        <w:t xml:space="preserve"> example </w:t>
      </w:r>
      <w:r w:rsidR="00630684">
        <w:rPr>
          <w:rFonts w:ascii="Times New Roman" w:hAnsi="Times New Roman" w:cs="Times New Roman"/>
          <w:sz w:val="24"/>
          <w:szCs w:val="24"/>
        </w:rPr>
        <w:t xml:space="preserve">showing the error of the proposed regulation occurs </w:t>
      </w:r>
      <w:r w:rsidR="00E4470E">
        <w:rPr>
          <w:rFonts w:ascii="Times New Roman" w:hAnsi="Times New Roman" w:cs="Times New Roman"/>
          <w:sz w:val="24"/>
          <w:szCs w:val="24"/>
        </w:rPr>
        <w:t xml:space="preserve">when the test taker has provided </w:t>
      </w:r>
      <w:r w:rsidR="006E18FC">
        <w:rPr>
          <w:rFonts w:ascii="Times New Roman" w:hAnsi="Times New Roman" w:cs="Times New Roman"/>
          <w:sz w:val="24"/>
          <w:szCs w:val="24"/>
        </w:rPr>
        <w:t>information to support a request for a</w:t>
      </w:r>
      <w:r w:rsidR="00136861">
        <w:rPr>
          <w:rFonts w:ascii="Times New Roman" w:hAnsi="Times New Roman" w:cs="Times New Roman"/>
          <w:sz w:val="24"/>
          <w:szCs w:val="24"/>
        </w:rPr>
        <w:t>n accommodation</w:t>
      </w:r>
      <w:r w:rsidR="00A562D4">
        <w:rPr>
          <w:rFonts w:ascii="Times New Roman" w:hAnsi="Times New Roman" w:cs="Times New Roman"/>
          <w:sz w:val="24"/>
          <w:szCs w:val="24"/>
        </w:rPr>
        <w:t>; in this case, the testing organization has provided a fixed process by which a test taker is permitted to appeal an adverse decision about whether an accommodation is granted.  It</w:t>
      </w:r>
      <w:r w:rsidR="0022486F">
        <w:rPr>
          <w:rFonts w:ascii="Times New Roman" w:hAnsi="Times New Roman" w:cs="Times New Roman"/>
          <w:sz w:val="24"/>
          <w:szCs w:val="24"/>
        </w:rPr>
        <w:t xml:space="preserve"> would be wholly inappropriate for the Agency to use the Proposed Regulation to intrude into those</w:t>
      </w:r>
      <w:r w:rsidR="00F96A0A">
        <w:rPr>
          <w:rFonts w:ascii="Times New Roman" w:hAnsi="Times New Roman" w:cs="Times New Roman"/>
          <w:sz w:val="24"/>
          <w:szCs w:val="24"/>
        </w:rPr>
        <w:t xml:space="preserve"> </w:t>
      </w:r>
      <w:r w:rsidR="0063510D">
        <w:rPr>
          <w:rFonts w:ascii="Times New Roman" w:hAnsi="Times New Roman" w:cs="Times New Roman"/>
          <w:sz w:val="24"/>
          <w:szCs w:val="24"/>
        </w:rPr>
        <w:t>Americans with Disabilities Ac</w:t>
      </w:r>
      <w:r w:rsidR="00F96A0A">
        <w:rPr>
          <w:rFonts w:ascii="Times New Roman" w:hAnsi="Times New Roman" w:cs="Times New Roman"/>
          <w:sz w:val="24"/>
          <w:szCs w:val="24"/>
        </w:rPr>
        <w:t xml:space="preserve">t </w:t>
      </w:r>
      <w:r w:rsidR="0063510D">
        <w:rPr>
          <w:rFonts w:ascii="Times New Roman" w:hAnsi="Times New Roman" w:cs="Times New Roman"/>
          <w:sz w:val="24"/>
          <w:szCs w:val="24"/>
        </w:rPr>
        <w:t>(“</w:t>
      </w:r>
      <w:r w:rsidR="003F30FA">
        <w:rPr>
          <w:rFonts w:ascii="Times New Roman" w:hAnsi="Times New Roman" w:cs="Times New Roman"/>
          <w:sz w:val="24"/>
          <w:szCs w:val="24"/>
        </w:rPr>
        <w:t>ADA</w:t>
      </w:r>
      <w:r w:rsidR="00F96A0A">
        <w:rPr>
          <w:rFonts w:ascii="Times New Roman" w:hAnsi="Times New Roman" w:cs="Times New Roman"/>
          <w:sz w:val="24"/>
          <w:szCs w:val="24"/>
        </w:rPr>
        <w:t>”)</w:t>
      </w:r>
      <w:r w:rsidR="003F30FA">
        <w:rPr>
          <w:rFonts w:ascii="Times New Roman" w:hAnsi="Times New Roman" w:cs="Times New Roman"/>
          <w:sz w:val="24"/>
          <w:szCs w:val="24"/>
        </w:rPr>
        <w:t xml:space="preserve"> issues. </w:t>
      </w:r>
      <w:r w:rsidR="0022486F">
        <w:rPr>
          <w:rFonts w:ascii="Times New Roman" w:hAnsi="Times New Roman" w:cs="Times New Roman"/>
          <w:sz w:val="24"/>
          <w:szCs w:val="24"/>
        </w:rPr>
        <w:t xml:space="preserve"> </w:t>
      </w:r>
      <w:r w:rsidR="00136861">
        <w:rPr>
          <w:rFonts w:ascii="Times New Roman" w:hAnsi="Times New Roman" w:cs="Times New Roman"/>
          <w:sz w:val="24"/>
          <w:szCs w:val="24"/>
        </w:rPr>
        <w:t xml:space="preserve"> </w:t>
      </w:r>
      <w:r w:rsidR="00E141C1">
        <w:rPr>
          <w:rFonts w:ascii="Times New Roman" w:hAnsi="Times New Roman" w:cs="Times New Roman"/>
          <w:sz w:val="24"/>
          <w:szCs w:val="24"/>
        </w:rPr>
        <w:t xml:space="preserve">          </w:t>
      </w:r>
    </w:p>
    <w:p w14:paraId="166665C7" w14:textId="664F1BD4" w:rsidR="00180802" w:rsidRPr="00E86BCC" w:rsidRDefault="00C22D84" w:rsidP="002F559D">
      <w:pPr>
        <w:ind w:firstLine="450"/>
        <w:rPr>
          <w:rFonts w:ascii="Times New Roman" w:hAnsi="Times New Roman" w:cs="Times New Roman"/>
          <w:i/>
          <w:iCs/>
          <w:sz w:val="24"/>
          <w:szCs w:val="24"/>
        </w:rPr>
      </w:pPr>
      <w:r>
        <w:rPr>
          <w:rFonts w:ascii="Times New Roman" w:hAnsi="Times New Roman" w:cs="Times New Roman"/>
          <w:sz w:val="24"/>
          <w:szCs w:val="24"/>
        </w:rPr>
        <w:t xml:space="preserve">g). </w:t>
      </w:r>
      <w:r w:rsidR="00490A0C">
        <w:rPr>
          <w:rFonts w:ascii="Times New Roman" w:hAnsi="Times New Roman" w:cs="Times New Roman"/>
          <w:sz w:val="24"/>
          <w:szCs w:val="24"/>
        </w:rPr>
        <w:t xml:space="preserve">The ATP supports subsection </w:t>
      </w:r>
      <w:r w:rsidR="004D515E">
        <w:rPr>
          <w:rFonts w:ascii="Times New Roman" w:hAnsi="Times New Roman" w:cs="Times New Roman"/>
          <w:sz w:val="24"/>
          <w:szCs w:val="24"/>
        </w:rPr>
        <w:t>(h) that permits businesses to deny fraudulent or abusive requests</w:t>
      </w:r>
      <w:r w:rsidR="00D60B63">
        <w:rPr>
          <w:rFonts w:ascii="Times New Roman" w:hAnsi="Times New Roman" w:cs="Times New Roman"/>
          <w:sz w:val="24"/>
          <w:szCs w:val="24"/>
        </w:rPr>
        <w:t>,</w:t>
      </w:r>
      <w:r w:rsidR="00490A0C" w:rsidRPr="00490A0C">
        <w:rPr>
          <w:rFonts w:ascii="Times New Roman" w:hAnsi="Times New Roman" w:cs="Times New Roman"/>
          <w:sz w:val="24"/>
          <w:szCs w:val="24"/>
        </w:rPr>
        <w:t xml:space="preserve"> </w:t>
      </w:r>
      <w:r w:rsidR="00D60B63">
        <w:rPr>
          <w:rFonts w:ascii="Times New Roman" w:hAnsi="Times New Roman" w:cs="Times New Roman"/>
          <w:sz w:val="24"/>
          <w:szCs w:val="24"/>
        </w:rPr>
        <w:t>“</w:t>
      </w:r>
      <w:r w:rsidR="00490A0C" w:rsidRPr="00490A0C">
        <w:rPr>
          <w:rFonts w:ascii="Times New Roman" w:hAnsi="Times New Roman" w:cs="Times New Roman"/>
          <w:sz w:val="24"/>
          <w:szCs w:val="24"/>
        </w:rPr>
        <w:t>if it has a good-faith, reasonable, and documented belief that a request to correct is fraudulent or abusive.</w:t>
      </w:r>
      <w:r w:rsidR="00D60B63">
        <w:rPr>
          <w:rFonts w:ascii="Times New Roman" w:hAnsi="Times New Roman" w:cs="Times New Roman"/>
          <w:sz w:val="24"/>
          <w:szCs w:val="24"/>
        </w:rPr>
        <w:t>”</w:t>
      </w:r>
      <w:r w:rsidR="00490A0C" w:rsidRPr="00490A0C">
        <w:rPr>
          <w:rFonts w:ascii="Times New Roman" w:hAnsi="Times New Roman" w:cs="Times New Roman"/>
          <w:sz w:val="24"/>
          <w:szCs w:val="24"/>
        </w:rPr>
        <w:t xml:space="preserve"> The business shall inform the requestor that it will not comply with the request and </w:t>
      </w:r>
      <w:r w:rsidR="00487D87">
        <w:rPr>
          <w:rFonts w:ascii="Times New Roman" w:hAnsi="Times New Roman" w:cs="Times New Roman"/>
          <w:sz w:val="24"/>
          <w:szCs w:val="24"/>
        </w:rPr>
        <w:t>“</w:t>
      </w:r>
      <w:r w:rsidR="00490A0C" w:rsidRPr="00490A0C">
        <w:rPr>
          <w:rFonts w:ascii="Times New Roman" w:hAnsi="Times New Roman" w:cs="Times New Roman"/>
          <w:sz w:val="24"/>
          <w:szCs w:val="24"/>
        </w:rPr>
        <w:t>shall provide an explanation why it believes the request is fraudulent or abusive</w:t>
      </w:r>
      <w:r w:rsidR="00853879">
        <w:rPr>
          <w:rFonts w:ascii="Times New Roman" w:hAnsi="Times New Roman" w:cs="Times New Roman"/>
          <w:sz w:val="24"/>
          <w:szCs w:val="24"/>
        </w:rPr>
        <w:t xml:space="preserve">.” </w:t>
      </w:r>
      <w:r w:rsidR="00280220">
        <w:rPr>
          <w:rFonts w:ascii="Times New Roman" w:hAnsi="Times New Roman" w:cs="Times New Roman"/>
          <w:sz w:val="24"/>
          <w:szCs w:val="24"/>
        </w:rPr>
        <w:t xml:space="preserve"> </w:t>
      </w:r>
      <w:r w:rsidR="00ED7180">
        <w:rPr>
          <w:rFonts w:ascii="Times New Roman" w:hAnsi="Times New Roman" w:cs="Times New Roman"/>
          <w:sz w:val="24"/>
          <w:szCs w:val="24"/>
        </w:rPr>
        <w:t>However,</w:t>
      </w:r>
      <w:r w:rsidR="00280220">
        <w:rPr>
          <w:rFonts w:ascii="Times New Roman" w:hAnsi="Times New Roman" w:cs="Times New Roman"/>
          <w:sz w:val="24"/>
          <w:szCs w:val="24"/>
        </w:rPr>
        <w:t xml:space="preserve"> </w:t>
      </w:r>
      <w:r w:rsidR="00AD1E8E">
        <w:rPr>
          <w:rFonts w:ascii="Times New Roman" w:hAnsi="Times New Roman" w:cs="Times New Roman"/>
          <w:sz w:val="24"/>
          <w:szCs w:val="24"/>
        </w:rPr>
        <w:t>Subsection</w:t>
      </w:r>
      <w:r w:rsidR="00280220">
        <w:rPr>
          <w:rFonts w:ascii="Times New Roman" w:hAnsi="Times New Roman" w:cs="Times New Roman"/>
          <w:sz w:val="24"/>
          <w:szCs w:val="24"/>
        </w:rPr>
        <w:t xml:space="preserve"> (</w:t>
      </w:r>
      <w:r w:rsidR="00ED7180">
        <w:rPr>
          <w:rFonts w:ascii="Times New Roman" w:hAnsi="Times New Roman" w:cs="Times New Roman"/>
          <w:sz w:val="24"/>
          <w:szCs w:val="24"/>
        </w:rPr>
        <w:t>j</w:t>
      </w:r>
      <w:r w:rsidR="00C46E7F">
        <w:rPr>
          <w:rFonts w:ascii="Times New Roman" w:hAnsi="Times New Roman" w:cs="Times New Roman"/>
          <w:sz w:val="24"/>
          <w:szCs w:val="24"/>
        </w:rPr>
        <w:t>)</w:t>
      </w:r>
      <w:r w:rsidR="00B9357A">
        <w:rPr>
          <w:rFonts w:ascii="Times New Roman" w:hAnsi="Times New Roman" w:cs="Times New Roman"/>
          <w:sz w:val="24"/>
          <w:szCs w:val="24"/>
        </w:rPr>
        <w:t xml:space="preserve">, which requires a business to provide </w:t>
      </w:r>
      <w:r w:rsidR="00A00B16">
        <w:rPr>
          <w:rFonts w:ascii="Times New Roman" w:hAnsi="Times New Roman" w:cs="Times New Roman"/>
          <w:sz w:val="24"/>
          <w:szCs w:val="24"/>
        </w:rPr>
        <w:t>all of the consumer’s PI to show what was corrected,</w:t>
      </w:r>
      <w:r w:rsidR="00C46E7F">
        <w:rPr>
          <w:rFonts w:ascii="Times New Roman" w:hAnsi="Times New Roman" w:cs="Times New Roman"/>
          <w:sz w:val="24"/>
          <w:szCs w:val="24"/>
        </w:rPr>
        <w:t xml:space="preserve"> is unnecessary and repetitive.  </w:t>
      </w:r>
      <w:r w:rsidR="00547F92">
        <w:rPr>
          <w:rFonts w:ascii="Times New Roman" w:hAnsi="Times New Roman" w:cs="Times New Roman"/>
          <w:sz w:val="24"/>
          <w:szCs w:val="24"/>
        </w:rPr>
        <w:t xml:space="preserve">This requirement would be </w:t>
      </w:r>
      <w:r w:rsidR="0091493E">
        <w:rPr>
          <w:rFonts w:ascii="Times New Roman" w:hAnsi="Times New Roman" w:cs="Times New Roman"/>
          <w:sz w:val="24"/>
          <w:szCs w:val="24"/>
        </w:rPr>
        <w:t xml:space="preserve">very </w:t>
      </w:r>
      <w:r w:rsidR="00625D1D">
        <w:rPr>
          <w:rFonts w:ascii="Times New Roman" w:hAnsi="Times New Roman" w:cs="Times New Roman"/>
          <w:sz w:val="24"/>
          <w:szCs w:val="24"/>
        </w:rPr>
        <w:t xml:space="preserve">burdensome </w:t>
      </w:r>
      <w:r w:rsidR="00625D1D">
        <w:rPr>
          <w:rFonts w:ascii="Times New Roman" w:hAnsi="Times New Roman" w:cs="Times New Roman"/>
          <w:sz w:val="24"/>
          <w:szCs w:val="24"/>
        </w:rPr>
        <w:lastRenderedPageBreak/>
        <w:t>and resource intensive</w:t>
      </w:r>
      <w:r w:rsidR="00547F92">
        <w:rPr>
          <w:rFonts w:ascii="Times New Roman" w:hAnsi="Times New Roman" w:cs="Times New Roman"/>
          <w:sz w:val="24"/>
          <w:szCs w:val="24"/>
        </w:rPr>
        <w:t xml:space="preserve"> for businesses, especially</w:t>
      </w:r>
      <w:r w:rsidR="00A26798">
        <w:rPr>
          <w:rFonts w:ascii="Times New Roman" w:hAnsi="Times New Roman" w:cs="Times New Roman"/>
          <w:sz w:val="24"/>
          <w:szCs w:val="24"/>
        </w:rPr>
        <w:t xml:space="preserve"> where</w:t>
      </w:r>
      <w:r w:rsidR="00547F92">
        <w:rPr>
          <w:rFonts w:ascii="Times New Roman" w:hAnsi="Times New Roman" w:cs="Times New Roman"/>
          <w:sz w:val="24"/>
          <w:szCs w:val="24"/>
        </w:rPr>
        <w:t xml:space="preserve"> </w:t>
      </w:r>
      <w:r w:rsidR="00C46E7F">
        <w:rPr>
          <w:rFonts w:ascii="Times New Roman" w:hAnsi="Times New Roman" w:cs="Times New Roman"/>
          <w:sz w:val="24"/>
          <w:szCs w:val="24"/>
        </w:rPr>
        <w:t xml:space="preserve">testing </w:t>
      </w:r>
      <w:r w:rsidR="00547F92">
        <w:rPr>
          <w:rFonts w:ascii="Times New Roman" w:hAnsi="Times New Roman" w:cs="Times New Roman"/>
          <w:sz w:val="24"/>
          <w:szCs w:val="24"/>
        </w:rPr>
        <w:t>organizations,</w:t>
      </w:r>
      <w:r w:rsidR="00C46E7F">
        <w:rPr>
          <w:rFonts w:ascii="Times New Roman" w:hAnsi="Times New Roman" w:cs="Times New Roman"/>
          <w:sz w:val="24"/>
          <w:szCs w:val="24"/>
        </w:rPr>
        <w:t xml:space="preserve"> </w:t>
      </w:r>
      <w:r w:rsidR="00A26798">
        <w:rPr>
          <w:rFonts w:ascii="Times New Roman" w:hAnsi="Times New Roman" w:cs="Times New Roman"/>
          <w:sz w:val="24"/>
          <w:szCs w:val="24"/>
        </w:rPr>
        <w:t xml:space="preserve">along with its </w:t>
      </w:r>
      <w:r w:rsidR="00C46E7F">
        <w:rPr>
          <w:rFonts w:ascii="Times New Roman" w:hAnsi="Times New Roman" w:cs="Times New Roman"/>
          <w:sz w:val="24"/>
          <w:szCs w:val="24"/>
        </w:rPr>
        <w:t>service provider</w:t>
      </w:r>
      <w:r w:rsidR="00A26798">
        <w:rPr>
          <w:rFonts w:ascii="Times New Roman" w:hAnsi="Times New Roman" w:cs="Times New Roman"/>
          <w:sz w:val="24"/>
          <w:szCs w:val="24"/>
        </w:rPr>
        <w:t>s,</w:t>
      </w:r>
      <w:r w:rsidR="00C46E7F">
        <w:rPr>
          <w:rFonts w:ascii="Times New Roman" w:hAnsi="Times New Roman" w:cs="Times New Roman"/>
          <w:sz w:val="24"/>
          <w:szCs w:val="24"/>
        </w:rPr>
        <w:t xml:space="preserve"> may process </w:t>
      </w:r>
      <w:r w:rsidR="008C3774">
        <w:rPr>
          <w:rFonts w:ascii="Times New Roman" w:hAnsi="Times New Roman" w:cs="Times New Roman"/>
          <w:sz w:val="24"/>
          <w:szCs w:val="24"/>
        </w:rPr>
        <w:t>voluminous information on any one consumer fo</w:t>
      </w:r>
      <w:r w:rsidR="00A26798">
        <w:rPr>
          <w:rFonts w:ascii="Times New Roman" w:hAnsi="Times New Roman" w:cs="Times New Roman"/>
          <w:sz w:val="24"/>
          <w:szCs w:val="24"/>
        </w:rPr>
        <w:t>r</w:t>
      </w:r>
      <w:r w:rsidR="008C3774">
        <w:rPr>
          <w:rFonts w:ascii="Times New Roman" w:hAnsi="Times New Roman" w:cs="Times New Roman"/>
          <w:sz w:val="24"/>
          <w:szCs w:val="24"/>
        </w:rPr>
        <w:t xml:space="preserve"> valid test administration purposes</w:t>
      </w:r>
      <w:r w:rsidR="00487D87">
        <w:rPr>
          <w:rFonts w:ascii="Times New Roman" w:hAnsi="Times New Roman" w:cs="Times New Roman"/>
          <w:sz w:val="24"/>
          <w:szCs w:val="24"/>
        </w:rPr>
        <w:t xml:space="preserve"> – and it again risks exposing a </w:t>
      </w:r>
      <w:r w:rsidR="00A944AB">
        <w:rPr>
          <w:rFonts w:ascii="Times New Roman" w:hAnsi="Times New Roman" w:cs="Times New Roman"/>
          <w:sz w:val="24"/>
          <w:szCs w:val="24"/>
        </w:rPr>
        <w:t xml:space="preserve">test taker’s PI to another avenue of disclosure. </w:t>
      </w:r>
      <w:r w:rsidR="008C3774">
        <w:rPr>
          <w:rFonts w:ascii="Times New Roman" w:hAnsi="Times New Roman" w:cs="Times New Roman"/>
          <w:sz w:val="24"/>
          <w:szCs w:val="24"/>
        </w:rPr>
        <w:t xml:space="preserve">To require </w:t>
      </w:r>
      <w:r w:rsidR="00A26798">
        <w:rPr>
          <w:rFonts w:ascii="Times New Roman" w:hAnsi="Times New Roman" w:cs="Times New Roman"/>
          <w:sz w:val="24"/>
          <w:szCs w:val="24"/>
        </w:rPr>
        <w:t>such extensive</w:t>
      </w:r>
      <w:r w:rsidR="008C3774">
        <w:rPr>
          <w:rFonts w:ascii="Times New Roman" w:hAnsi="Times New Roman" w:cs="Times New Roman"/>
          <w:sz w:val="24"/>
          <w:szCs w:val="24"/>
        </w:rPr>
        <w:t xml:space="preserve"> disclos</w:t>
      </w:r>
      <w:r w:rsidR="00A26798">
        <w:rPr>
          <w:rFonts w:ascii="Times New Roman" w:hAnsi="Times New Roman" w:cs="Times New Roman"/>
          <w:sz w:val="24"/>
          <w:szCs w:val="24"/>
        </w:rPr>
        <w:t>ure</w:t>
      </w:r>
      <w:r w:rsidR="00AD1E8E">
        <w:rPr>
          <w:rFonts w:ascii="Times New Roman" w:hAnsi="Times New Roman" w:cs="Times New Roman"/>
          <w:sz w:val="24"/>
          <w:szCs w:val="24"/>
        </w:rPr>
        <w:t xml:space="preserve"> </w:t>
      </w:r>
      <w:r w:rsidR="008C3774">
        <w:rPr>
          <w:rFonts w:ascii="Times New Roman" w:hAnsi="Times New Roman" w:cs="Times New Roman"/>
          <w:sz w:val="24"/>
          <w:szCs w:val="24"/>
        </w:rPr>
        <w:t xml:space="preserve">is incredibly </w:t>
      </w:r>
      <w:r w:rsidR="00AD1E8E">
        <w:rPr>
          <w:rFonts w:ascii="Times New Roman" w:hAnsi="Times New Roman" w:cs="Times New Roman"/>
          <w:sz w:val="24"/>
          <w:szCs w:val="24"/>
        </w:rPr>
        <w:t>burdensome</w:t>
      </w:r>
      <w:r w:rsidR="00E86BCC">
        <w:rPr>
          <w:rFonts w:ascii="Times New Roman" w:hAnsi="Times New Roman" w:cs="Times New Roman"/>
          <w:sz w:val="24"/>
          <w:szCs w:val="24"/>
        </w:rPr>
        <w:t xml:space="preserve"> and</w:t>
      </w:r>
      <w:r w:rsidR="00A26798">
        <w:rPr>
          <w:rFonts w:ascii="Times New Roman" w:hAnsi="Times New Roman" w:cs="Times New Roman"/>
          <w:sz w:val="24"/>
          <w:szCs w:val="24"/>
        </w:rPr>
        <w:t xml:space="preserve">, to the extent, the organization has </w:t>
      </w:r>
      <w:r w:rsidR="00E86BCC">
        <w:rPr>
          <w:rFonts w:ascii="Times New Roman" w:hAnsi="Times New Roman" w:cs="Times New Roman"/>
          <w:sz w:val="24"/>
          <w:szCs w:val="24"/>
        </w:rPr>
        <w:t xml:space="preserve">already responded to the consumer’s “right to know” request, it is </w:t>
      </w:r>
      <w:r w:rsidR="009A08D5">
        <w:rPr>
          <w:rFonts w:ascii="Times New Roman" w:hAnsi="Times New Roman" w:cs="Times New Roman"/>
          <w:sz w:val="24"/>
          <w:szCs w:val="24"/>
        </w:rPr>
        <w:t>repetitious</w:t>
      </w:r>
      <w:r w:rsidR="008C3774">
        <w:rPr>
          <w:rFonts w:ascii="Times New Roman" w:hAnsi="Times New Roman" w:cs="Times New Roman"/>
          <w:sz w:val="24"/>
          <w:szCs w:val="24"/>
        </w:rPr>
        <w:t xml:space="preserve">. </w:t>
      </w:r>
      <w:r w:rsidR="002F559D">
        <w:rPr>
          <w:rFonts w:ascii="Times New Roman" w:hAnsi="Times New Roman" w:cs="Times New Roman"/>
          <w:sz w:val="24"/>
          <w:szCs w:val="24"/>
        </w:rPr>
        <w:t xml:space="preserve"> </w:t>
      </w:r>
    </w:p>
    <w:p w14:paraId="174305AB" w14:textId="3EB2AF6C" w:rsidR="001A7221" w:rsidRDefault="0047398D" w:rsidP="001A7221">
      <w:pPr>
        <w:pStyle w:val="ListParagraph"/>
        <w:ind w:left="0" w:firstLine="450"/>
        <w:rPr>
          <w:rFonts w:ascii="Times New Roman" w:hAnsi="Times New Roman" w:cs="Times New Roman"/>
          <w:sz w:val="24"/>
          <w:szCs w:val="24"/>
        </w:rPr>
      </w:pPr>
      <w:r>
        <w:rPr>
          <w:rFonts w:ascii="Times New Roman" w:hAnsi="Times New Roman" w:cs="Times New Roman"/>
          <w:sz w:val="24"/>
          <w:szCs w:val="24"/>
        </w:rPr>
        <w:t xml:space="preserve">h). </w:t>
      </w:r>
      <w:r w:rsidR="003B0916">
        <w:rPr>
          <w:rFonts w:ascii="Times New Roman" w:hAnsi="Times New Roman" w:cs="Times New Roman"/>
          <w:sz w:val="24"/>
          <w:szCs w:val="24"/>
        </w:rPr>
        <w:t>For Subsection 7024 “Right to Know</w:t>
      </w:r>
      <w:r w:rsidR="00D87B99">
        <w:rPr>
          <w:rFonts w:ascii="Times New Roman" w:hAnsi="Times New Roman" w:cs="Times New Roman"/>
          <w:sz w:val="24"/>
          <w:szCs w:val="24"/>
        </w:rPr>
        <w:t>,</w:t>
      </w:r>
      <w:r w:rsidR="003B0916">
        <w:rPr>
          <w:rFonts w:ascii="Times New Roman" w:hAnsi="Times New Roman" w:cs="Times New Roman"/>
          <w:sz w:val="24"/>
          <w:szCs w:val="24"/>
        </w:rPr>
        <w:t>”</w:t>
      </w:r>
      <w:r w:rsidR="0011003B">
        <w:rPr>
          <w:rFonts w:ascii="Times New Roman" w:hAnsi="Times New Roman" w:cs="Times New Roman"/>
          <w:sz w:val="24"/>
          <w:szCs w:val="24"/>
        </w:rPr>
        <w:t xml:space="preserve"> the ATP supports directing the consumer to the business’ privacy policy when the consumer’s identity cannot be verified.  </w:t>
      </w:r>
      <w:r>
        <w:rPr>
          <w:rFonts w:ascii="Times New Roman" w:hAnsi="Times New Roman" w:cs="Times New Roman"/>
          <w:sz w:val="24"/>
          <w:szCs w:val="24"/>
        </w:rPr>
        <w:t>A testing organization</w:t>
      </w:r>
      <w:r w:rsidR="0011003B">
        <w:rPr>
          <w:rFonts w:ascii="Times New Roman" w:hAnsi="Times New Roman" w:cs="Times New Roman"/>
          <w:sz w:val="24"/>
          <w:szCs w:val="24"/>
        </w:rPr>
        <w:t xml:space="preserve"> is already required to include detailed descriptions of categories of information </w:t>
      </w:r>
      <w:r w:rsidR="00482294">
        <w:rPr>
          <w:rFonts w:ascii="Times New Roman" w:hAnsi="Times New Roman" w:cs="Times New Roman"/>
          <w:sz w:val="24"/>
          <w:szCs w:val="24"/>
        </w:rPr>
        <w:t>collected</w:t>
      </w:r>
      <w:r w:rsidR="0011003B">
        <w:rPr>
          <w:rFonts w:ascii="Times New Roman" w:hAnsi="Times New Roman" w:cs="Times New Roman"/>
          <w:sz w:val="24"/>
          <w:szCs w:val="24"/>
        </w:rPr>
        <w:t xml:space="preserve">, the purpose, etc. </w:t>
      </w:r>
      <w:r>
        <w:rPr>
          <w:rFonts w:ascii="Times New Roman" w:hAnsi="Times New Roman" w:cs="Times New Roman"/>
          <w:sz w:val="24"/>
          <w:szCs w:val="24"/>
        </w:rPr>
        <w:t xml:space="preserve">in its Privacy Policy, </w:t>
      </w:r>
      <w:r w:rsidR="0011003B">
        <w:rPr>
          <w:rFonts w:ascii="Times New Roman" w:hAnsi="Times New Roman" w:cs="Times New Roman"/>
          <w:sz w:val="24"/>
          <w:szCs w:val="24"/>
        </w:rPr>
        <w:t xml:space="preserve">so a consumer can </w:t>
      </w:r>
      <w:r>
        <w:rPr>
          <w:rFonts w:ascii="Times New Roman" w:hAnsi="Times New Roman" w:cs="Times New Roman"/>
          <w:sz w:val="24"/>
          <w:szCs w:val="24"/>
        </w:rPr>
        <w:t xml:space="preserve">easily </w:t>
      </w:r>
      <w:r w:rsidR="0011003B">
        <w:rPr>
          <w:rFonts w:ascii="Times New Roman" w:hAnsi="Times New Roman" w:cs="Times New Roman"/>
          <w:sz w:val="24"/>
          <w:szCs w:val="24"/>
        </w:rPr>
        <w:t xml:space="preserve">understand </w:t>
      </w:r>
      <w:r>
        <w:rPr>
          <w:rFonts w:ascii="Times New Roman" w:hAnsi="Times New Roman" w:cs="Times New Roman"/>
          <w:sz w:val="24"/>
          <w:szCs w:val="24"/>
        </w:rPr>
        <w:t>its</w:t>
      </w:r>
      <w:r w:rsidR="0011003B">
        <w:rPr>
          <w:rFonts w:ascii="Times New Roman" w:hAnsi="Times New Roman" w:cs="Times New Roman"/>
          <w:sz w:val="24"/>
          <w:szCs w:val="24"/>
        </w:rPr>
        <w:t xml:space="preserve"> privacy practices.</w:t>
      </w:r>
    </w:p>
    <w:p w14:paraId="6800AA63" w14:textId="77777777" w:rsidR="001A7221" w:rsidRPr="001A7221" w:rsidRDefault="001A7221" w:rsidP="001A7221">
      <w:pPr>
        <w:pStyle w:val="ListParagraph"/>
        <w:ind w:left="0" w:firstLine="450"/>
        <w:rPr>
          <w:rFonts w:ascii="Times New Roman" w:hAnsi="Times New Roman" w:cs="Times New Roman"/>
          <w:sz w:val="24"/>
          <w:szCs w:val="24"/>
        </w:rPr>
      </w:pPr>
    </w:p>
    <w:p w14:paraId="280D629E" w14:textId="433DB3AD" w:rsidR="00C83C2D" w:rsidRPr="001A7221" w:rsidRDefault="001A7221" w:rsidP="001A7221">
      <w:pPr>
        <w:pStyle w:val="ListParagraph"/>
        <w:ind w:left="0" w:firstLine="450"/>
        <w:rPr>
          <w:rFonts w:ascii="Times New Roman" w:hAnsi="Times New Roman" w:cs="Times New Roman"/>
          <w:i/>
          <w:iCs/>
          <w:sz w:val="24"/>
          <w:szCs w:val="24"/>
        </w:rPr>
      </w:pPr>
      <w:r>
        <w:rPr>
          <w:rFonts w:ascii="Times New Roman" w:hAnsi="Times New Roman" w:cs="Times New Roman"/>
          <w:sz w:val="24"/>
          <w:szCs w:val="24"/>
        </w:rPr>
        <w:t xml:space="preserve">i). </w:t>
      </w:r>
      <w:r w:rsidR="001A23D4" w:rsidRPr="001A7221">
        <w:rPr>
          <w:rFonts w:ascii="Times New Roman" w:hAnsi="Times New Roman" w:cs="Times New Roman"/>
          <w:sz w:val="24"/>
          <w:szCs w:val="24"/>
        </w:rPr>
        <w:t xml:space="preserve">The ATP objects to Subsection (h) </w:t>
      </w:r>
      <w:r w:rsidR="003C20DF" w:rsidRPr="001A7221">
        <w:rPr>
          <w:rFonts w:ascii="Times New Roman" w:hAnsi="Times New Roman" w:cs="Times New Roman"/>
          <w:sz w:val="24"/>
          <w:szCs w:val="24"/>
        </w:rPr>
        <w:t>because</w:t>
      </w:r>
      <w:r w:rsidR="001A23D4" w:rsidRPr="001A7221">
        <w:rPr>
          <w:rFonts w:ascii="Times New Roman" w:hAnsi="Times New Roman" w:cs="Times New Roman"/>
          <w:sz w:val="24"/>
          <w:szCs w:val="24"/>
        </w:rPr>
        <w:t xml:space="preserve"> </w:t>
      </w:r>
      <w:r w:rsidR="00B253E6" w:rsidRPr="001A7221">
        <w:rPr>
          <w:rFonts w:ascii="Times New Roman" w:hAnsi="Times New Roman" w:cs="Times New Roman"/>
          <w:sz w:val="24"/>
          <w:szCs w:val="24"/>
        </w:rPr>
        <w:t>this</w:t>
      </w:r>
      <w:r w:rsidR="006F33FB" w:rsidRPr="001A7221">
        <w:rPr>
          <w:rFonts w:ascii="Times New Roman" w:hAnsi="Times New Roman" w:cs="Times New Roman"/>
          <w:sz w:val="24"/>
          <w:szCs w:val="24"/>
        </w:rPr>
        <w:t xml:space="preserve"> </w:t>
      </w:r>
      <w:r w:rsidR="00867253" w:rsidRPr="001A7221">
        <w:rPr>
          <w:rFonts w:ascii="Times New Roman" w:hAnsi="Times New Roman" w:cs="Times New Roman"/>
          <w:sz w:val="24"/>
          <w:szCs w:val="24"/>
        </w:rPr>
        <w:t xml:space="preserve">provision would </w:t>
      </w:r>
      <w:r w:rsidR="006F33FB" w:rsidRPr="001A7221">
        <w:rPr>
          <w:rFonts w:ascii="Times New Roman" w:hAnsi="Times New Roman" w:cs="Times New Roman"/>
          <w:sz w:val="24"/>
          <w:szCs w:val="24"/>
        </w:rPr>
        <w:t xml:space="preserve">require a business to provide records </w:t>
      </w:r>
      <w:r w:rsidR="003C20DF" w:rsidRPr="001A7221">
        <w:rPr>
          <w:rFonts w:ascii="Times New Roman" w:hAnsi="Times New Roman" w:cs="Times New Roman"/>
          <w:sz w:val="24"/>
          <w:szCs w:val="24"/>
        </w:rPr>
        <w:t>for longer than</w:t>
      </w:r>
      <w:r w:rsidR="006F33FB" w:rsidRPr="001A7221">
        <w:rPr>
          <w:rFonts w:ascii="Times New Roman" w:hAnsi="Times New Roman" w:cs="Times New Roman"/>
          <w:sz w:val="24"/>
          <w:szCs w:val="24"/>
        </w:rPr>
        <w:t xml:space="preserve"> 12 months</w:t>
      </w:r>
      <w:r w:rsidR="00B253E6" w:rsidRPr="001A7221">
        <w:rPr>
          <w:rFonts w:ascii="Times New Roman" w:hAnsi="Times New Roman" w:cs="Times New Roman"/>
          <w:sz w:val="24"/>
          <w:szCs w:val="24"/>
        </w:rPr>
        <w:t xml:space="preserve"> </w:t>
      </w:r>
      <w:r w:rsidR="00867253" w:rsidRPr="001A7221">
        <w:rPr>
          <w:rFonts w:ascii="Times New Roman" w:hAnsi="Times New Roman" w:cs="Times New Roman"/>
          <w:sz w:val="24"/>
          <w:szCs w:val="24"/>
        </w:rPr>
        <w:t xml:space="preserve">from the </w:t>
      </w:r>
      <w:r w:rsidR="00B253E6" w:rsidRPr="001A7221">
        <w:rPr>
          <w:rFonts w:ascii="Times New Roman" w:hAnsi="Times New Roman" w:cs="Times New Roman"/>
          <w:sz w:val="24"/>
          <w:szCs w:val="24"/>
        </w:rPr>
        <w:t>request</w:t>
      </w:r>
      <w:r w:rsidR="00280D08" w:rsidRPr="001A7221">
        <w:rPr>
          <w:rFonts w:ascii="Times New Roman" w:hAnsi="Times New Roman" w:cs="Times New Roman"/>
          <w:sz w:val="24"/>
          <w:szCs w:val="24"/>
        </w:rPr>
        <w:t xml:space="preserve"> date</w:t>
      </w:r>
      <w:r w:rsidR="00B253E6" w:rsidRPr="001A7221">
        <w:rPr>
          <w:rFonts w:ascii="Times New Roman" w:hAnsi="Times New Roman" w:cs="Times New Roman"/>
          <w:sz w:val="24"/>
          <w:szCs w:val="24"/>
        </w:rPr>
        <w:t xml:space="preserve"> unless </w:t>
      </w:r>
      <w:r w:rsidR="00D87B99" w:rsidRPr="001A7221">
        <w:rPr>
          <w:rFonts w:ascii="Times New Roman" w:hAnsi="Times New Roman" w:cs="Times New Roman"/>
          <w:sz w:val="24"/>
          <w:szCs w:val="24"/>
        </w:rPr>
        <w:t xml:space="preserve">it can show the request causes an </w:t>
      </w:r>
      <w:r w:rsidR="00B253E6" w:rsidRPr="001A7221">
        <w:rPr>
          <w:rFonts w:ascii="Times New Roman" w:hAnsi="Times New Roman" w:cs="Times New Roman"/>
          <w:sz w:val="24"/>
          <w:szCs w:val="24"/>
        </w:rPr>
        <w:t>impossible or disproportionate effort</w:t>
      </w:r>
      <w:r w:rsidR="00D87B99" w:rsidRPr="001A7221">
        <w:rPr>
          <w:rFonts w:ascii="Times New Roman" w:hAnsi="Times New Roman" w:cs="Times New Roman"/>
          <w:sz w:val="24"/>
          <w:szCs w:val="24"/>
        </w:rPr>
        <w:t xml:space="preserve">. </w:t>
      </w:r>
      <w:r w:rsidR="00B253E6" w:rsidRPr="001A7221">
        <w:rPr>
          <w:rFonts w:ascii="Times New Roman" w:hAnsi="Times New Roman" w:cs="Times New Roman"/>
          <w:sz w:val="24"/>
          <w:szCs w:val="24"/>
        </w:rPr>
        <w:t xml:space="preserve"> </w:t>
      </w:r>
      <w:r w:rsidR="00280D08" w:rsidRPr="001A7221">
        <w:rPr>
          <w:rFonts w:ascii="Times New Roman" w:hAnsi="Times New Roman" w:cs="Times New Roman"/>
          <w:sz w:val="24"/>
          <w:szCs w:val="24"/>
        </w:rPr>
        <w:t>R</w:t>
      </w:r>
      <w:r w:rsidR="00574F0A" w:rsidRPr="001A7221">
        <w:rPr>
          <w:rFonts w:ascii="Times New Roman" w:hAnsi="Times New Roman" w:cs="Times New Roman"/>
          <w:sz w:val="24"/>
          <w:szCs w:val="24"/>
        </w:rPr>
        <w:t xml:space="preserve">equiring a </w:t>
      </w:r>
      <w:r w:rsidR="00AD1E8E" w:rsidRPr="001A7221">
        <w:rPr>
          <w:rFonts w:ascii="Times New Roman" w:hAnsi="Times New Roman" w:cs="Times New Roman"/>
          <w:sz w:val="24"/>
          <w:szCs w:val="24"/>
        </w:rPr>
        <w:t xml:space="preserve">covered </w:t>
      </w:r>
      <w:r w:rsidR="00574F0A" w:rsidRPr="001A7221">
        <w:rPr>
          <w:rFonts w:ascii="Times New Roman" w:hAnsi="Times New Roman" w:cs="Times New Roman"/>
          <w:sz w:val="24"/>
          <w:szCs w:val="24"/>
        </w:rPr>
        <w:t xml:space="preserve">business to provide a “detailed explanation” about why </w:t>
      </w:r>
      <w:r w:rsidR="00AD1E8E" w:rsidRPr="001A7221">
        <w:rPr>
          <w:rFonts w:ascii="Times New Roman" w:hAnsi="Times New Roman" w:cs="Times New Roman"/>
          <w:sz w:val="24"/>
          <w:szCs w:val="24"/>
        </w:rPr>
        <w:t>it</w:t>
      </w:r>
      <w:r w:rsidR="00574F0A" w:rsidRPr="001A7221">
        <w:rPr>
          <w:rFonts w:ascii="Times New Roman" w:hAnsi="Times New Roman" w:cs="Times New Roman"/>
          <w:sz w:val="24"/>
          <w:szCs w:val="24"/>
        </w:rPr>
        <w:t xml:space="preserve"> cannot </w:t>
      </w:r>
      <w:r w:rsidR="00280D08" w:rsidRPr="001A7221">
        <w:rPr>
          <w:rFonts w:ascii="Times New Roman" w:hAnsi="Times New Roman" w:cs="Times New Roman"/>
          <w:sz w:val="24"/>
          <w:szCs w:val="24"/>
        </w:rPr>
        <w:t xml:space="preserve">meet this </w:t>
      </w:r>
      <w:r w:rsidR="00036743" w:rsidRPr="001A7221">
        <w:rPr>
          <w:rFonts w:ascii="Times New Roman" w:hAnsi="Times New Roman" w:cs="Times New Roman"/>
          <w:sz w:val="24"/>
          <w:szCs w:val="24"/>
        </w:rPr>
        <w:t xml:space="preserve">requirement </w:t>
      </w:r>
      <w:r w:rsidR="00574F0A" w:rsidRPr="001A7221">
        <w:rPr>
          <w:rFonts w:ascii="Times New Roman" w:hAnsi="Times New Roman" w:cs="Times New Roman"/>
          <w:sz w:val="24"/>
          <w:szCs w:val="24"/>
        </w:rPr>
        <w:t xml:space="preserve">is </w:t>
      </w:r>
      <w:r w:rsidR="000521AA" w:rsidRPr="001A7221">
        <w:rPr>
          <w:rFonts w:ascii="Times New Roman" w:hAnsi="Times New Roman" w:cs="Times New Roman"/>
          <w:sz w:val="24"/>
          <w:szCs w:val="24"/>
        </w:rPr>
        <w:t xml:space="preserve">yet </w:t>
      </w:r>
      <w:r w:rsidR="00574F0A" w:rsidRPr="001A7221">
        <w:rPr>
          <w:rFonts w:ascii="Times New Roman" w:hAnsi="Times New Roman" w:cs="Times New Roman"/>
          <w:sz w:val="24"/>
          <w:szCs w:val="24"/>
        </w:rPr>
        <w:t xml:space="preserve">another complex and onerous </w:t>
      </w:r>
      <w:r w:rsidR="00036743" w:rsidRPr="001A7221">
        <w:rPr>
          <w:rFonts w:ascii="Times New Roman" w:hAnsi="Times New Roman" w:cs="Times New Roman"/>
          <w:sz w:val="24"/>
          <w:szCs w:val="24"/>
        </w:rPr>
        <w:t>burden</w:t>
      </w:r>
      <w:r w:rsidR="00574F0A" w:rsidRPr="001A7221">
        <w:rPr>
          <w:rFonts w:ascii="Times New Roman" w:hAnsi="Times New Roman" w:cs="Times New Roman"/>
          <w:sz w:val="24"/>
          <w:szCs w:val="24"/>
        </w:rPr>
        <w:t xml:space="preserve"> </w:t>
      </w:r>
      <w:r w:rsidR="00B253E6" w:rsidRPr="001A7221">
        <w:rPr>
          <w:rFonts w:ascii="Times New Roman" w:hAnsi="Times New Roman" w:cs="Times New Roman"/>
          <w:sz w:val="24"/>
          <w:szCs w:val="24"/>
        </w:rPr>
        <w:t>to meet</w:t>
      </w:r>
      <w:r w:rsidR="00036743" w:rsidRPr="001A7221">
        <w:rPr>
          <w:rFonts w:ascii="Times New Roman" w:hAnsi="Times New Roman" w:cs="Times New Roman"/>
          <w:sz w:val="24"/>
          <w:szCs w:val="24"/>
        </w:rPr>
        <w:t>, especially in light of</w:t>
      </w:r>
      <w:r w:rsidR="00B253E6" w:rsidRPr="001A7221">
        <w:rPr>
          <w:rFonts w:ascii="Times New Roman" w:hAnsi="Times New Roman" w:cs="Times New Roman"/>
          <w:sz w:val="24"/>
          <w:szCs w:val="24"/>
        </w:rPr>
        <w:t xml:space="preserve"> t</w:t>
      </w:r>
      <w:r w:rsidR="00706135" w:rsidRPr="001A7221">
        <w:rPr>
          <w:rFonts w:ascii="Times New Roman" w:hAnsi="Times New Roman" w:cs="Times New Roman"/>
          <w:sz w:val="24"/>
          <w:szCs w:val="24"/>
        </w:rPr>
        <w:t>he</w:t>
      </w:r>
      <w:r w:rsidR="00D160EC" w:rsidRPr="001A7221">
        <w:rPr>
          <w:rFonts w:ascii="Times New Roman" w:hAnsi="Times New Roman" w:cs="Times New Roman"/>
          <w:sz w:val="24"/>
          <w:szCs w:val="24"/>
        </w:rPr>
        <w:t xml:space="preserve"> voluminous</w:t>
      </w:r>
      <w:r w:rsidR="00706135" w:rsidRPr="001A7221">
        <w:rPr>
          <w:rFonts w:ascii="Times New Roman" w:hAnsi="Times New Roman" w:cs="Times New Roman"/>
          <w:sz w:val="24"/>
          <w:szCs w:val="24"/>
        </w:rPr>
        <w:t xml:space="preserve"> requests</w:t>
      </w:r>
      <w:r w:rsidR="00C83C2D" w:rsidRPr="001A7221">
        <w:rPr>
          <w:rFonts w:ascii="Times New Roman" w:hAnsi="Times New Roman" w:cs="Times New Roman"/>
          <w:sz w:val="24"/>
          <w:szCs w:val="24"/>
        </w:rPr>
        <w:t xml:space="preserve"> many </w:t>
      </w:r>
      <w:r w:rsidR="00036743" w:rsidRPr="001A7221">
        <w:rPr>
          <w:rFonts w:ascii="Times New Roman" w:hAnsi="Times New Roman" w:cs="Times New Roman"/>
          <w:sz w:val="24"/>
          <w:szCs w:val="24"/>
        </w:rPr>
        <w:t>testing organization</w:t>
      </w:r>
      <w:r w:rsidR="00C83C2D" w:rsidRPr="001A7221">
        <w:rPr>
          <w:rFonts w:ascii="Times New Roman" w:hAnsi="Times New Roman" w:cs="Times New Roman"/>
          <w:sz w:val="24"/>
          <w:szCs w:val="24"/>
        </w:rPr>
        <w:t>s</w:t>
      </w:r>
      <w:r w:rsidR="00036743" w:rsidRPr="001A7221">
        <w:rPr>
          <w:rFonts w:ascii="Times New Roman" w:hAnsi="Times New Roman" w:cs="Times New Roman"/>
          <w:sz w:val="24"/>
          <w:szCs w:val="24"/>
        </w:rPr>
        <w:t xml:space="preserve"> </w:t>
      </w:r>
      <w:r w:rsidR="00C83C2D" w:rsidRPr="001A7221">
        <w:rPr>
          <w:rFonts w:ascii="Times New Roman" w:hAnsi="Times New Roman" w:cs="Times New Roman"/>
          <w:sz w:val="24"/>
          <w:szCs w:val="24"/>
        </w:rPr>
        <w:t>have been</w:t>
      </w:r>
      <w:r w:rsidR="00706135" w:rsidRPr="001A7221">
        <w:rPr>
          <w:rFonts w:ascii="Times New Roman" w:hAnsi="Times New Roman" w:cs="Times New Roman"/>
          <w:sz w:val="24"/>
          <w:szCs w:val="24"/>
        </w:rPr>
        <w:t xml:space="preserve"> receiv</w:t>
      </w:r>
      <w:r w:rsidR="00C83C2D" w:rsidRPr="001A7221">
        <w:rPr>
          <w:rFonts w:ascii="Times New Roman" w:hAnsi="Times New Roman" w:cs="Times New Roman"/>
          <w:sz w:val="24"/>
          <w:szCs w:val="24"/>
        </w:rPr>
        <w:t>ing</w:t>
      </w:r>
      <w:r w:rsidR="00706135" w:rsidRPr="001A7221">
        <w:rPr>
          <w:rFonts w:ascii="Times New Roman" w:hAnsi="Times New Roman" w:cs="Times New Roman"/>
          <w:sz w:val="24"/>
          <w:szCs w:val="24"/>
        </w:rPr>
        <w:t>.</w:t>
      </w:r>
    </w:p>
    <w:p w14:paraId="3B7C71F4" w14:textId="2222B1D8" w:rsidR="00706135" w:rsidRPr="00675C2F" w:rsidRDefault="00706135" w:rsidP="00574F0A">
      <w:pPr>
        <w:pStyle w:val="ListParagraph"/>
        <w:ind w:left="0" w:firstLine="450"/>
        <w:rPr>
          <w:rFonts w:ascii="Times New Roman" w:hAnsi="Times New Roman" w:cs="Times New Roman"/>
          <w:sz w:val="24"/>
          <w:szCs w:val="24"/>
        </w:rPr>
      </w:pPr>
      <w:r w:rsidRPr="00675C2F">
        <w:rPr>
          <w:rFonts w:ascii="Times New Roman" w:hAnsi="Times New Roman" w:cs="Times New Roman"/>
          <w:sz w:val="24"/>
          <w:szCs w:val="24"/>
        </w:rPr>
        <w:t xml:space="preserve">  </w:t>
      </w:r>
    </w:p>
    <w:p w14:paraId="5624A938" w14:textId="144E1E3D" w:rsidR="0011003B" w:rsidRPr="00357891" w:rsidRDefault="00C83C2D" w:rsidP="00981158">
      <w:pPr>
        <w:pStyle w:val="ListParagraph"/>
        <w:ind w:left="0" w:firstLine="450"/>
      </w:pPr>
      <w:r>
        <w:rPr>
          <w:rFonts w:ascii="Times New Roman" w:hAnsi="Times New Roman" w:cs="Times New Roman"/>
          <w:sz w:val="24"/>
          <w:szCs w:val="24"/>
        </w:rPr>
        <w:t>In this regard</w:t>
      </w:r>
      <w:r w:rsidR="000B2F81">
        <w:rPr>
          <w:rFonts w:ascii="Times New Roman" w:hAnsi="Times New Roman" w:cs="Times New Roman"/>
          <w:sz w:val="24"/>
          <w:szCs w:val="24"/>
        </w:rPr>
        <w:t xml:space="preserve">, </w:t>
      </w:r>
      <w:r w:rsidR="00F712D1">
        <w:rPr>
          <w:rFonts w:ascii="Times New Roman" w:hAnsi="Times New Roman" w:cs="Times New Roman"/>
          <w:sz w:val="24"/>
          <w:szCs w:val="24"/>
        </w:rPr>
        <w:t xml:space="preserve">as we described in the beginning of our comments, </w:t>
      </w:r>
      <w:r w:rsidR="00706135">
        <w:rPr>
          <w:rFonts w:ascii="Times New Roman" w:hAnsi="Times New Roman" w:cs="Times New Roman"/>
          <w:sz w:val="24"/>
          <w:szCs w:val="24"/>
        </w:rPr>
        <w:t xml:space="preserve">the Agency </w:t>
      </w:r>
      <w:r>
        <w:rPr>
          <w:rFonts w:ascii="Times New Roman" w:hAnsi="Times New Roman" w:cs="Times New Roman"/>
          <w:sz w:val="24"/>
          <w:szCs w:val="24"/>
        </w:rPr>
        <w:t>should be</w:t>
      </w:r>
      <w:r w:rsidR="00706135">
        <w:rPr>
          <w:rFonts w:ascii="Times New Roman" w:hAnsi="Times New Roman" w:cs="Times New Roman"/>
          <w:sz w:val="24"/>
          <w:szCs w:val="24"/>
        </w:rPr>
        <w:t xml:space="preserve"> aware that there have been increasing requests, including </w:t>
      </w:r>
      <w:r w:rsidR="000B2F81">
        <w:rPr>
          <w:rFonts w:ascii="Times New Roman" w:hAnsi="Times New Roman" w:cs="Times New Roman"/>
          <w:sz w:val="24"/>
          <w:szCs w:val="24"/>
        </w:rPr>
        <w:t xml:space="preserve">ones that are </w:t>
      </w:r>
      <w:r w:rsidR="00706135">
        <w:rPr>
          <w:rFonts w:ascii="Times New Roman" w:hAnsi="Times New Roman" w:cs="Times New Roman"/>
          <w:sz w:val="24"/>
          <w:szCs w:val="24"/>
        </w:rPr>
        <w:t>often mis</w:t>
      </w:r>
      <w:r>
        <w:rPr>
          <w:rFonts w:ascii="Times New Roman" w:hAnsi="Times New Roman" w:cs="Times New Roman"/>
          <w:sz w:val="24"/>
          <w:szCs w:val="24"/>
        </w:rPr>
        <w:t>guided</w:t>
      </w:r>
      <w:r w:rsidR="00706135">
        <w:rPr>
          <w:rFonts w:ascii="Times New Roman" w:hAnsi="Times New Roman" w:cs="Times New Roman"/>
          <w:sz w:val="24"/>
          <w:szCs w:val="24"/>
        </w:rPr>
        <w:t xml:space="preserve"> and disingenuous </w:t>
      </w:r>
      <w:r w:rsidR="000B2F81">
        <w:rPr>
          <w:rFonts w:ascii="Times New Roman" w:hAnsi="Times New Roman" w:cs="Times New Roman"/>
          <w:sz w:val="24"/>
          <w:szCs w:val="24"/>
        </w:rPr>
        <w:t xml:space="preserve">attempts </w:t>
      </w:r>
      <w:r w:rsidR="00706135">
        <w:rPr>
          <w:rFonts w:ascii="Times New Roman" w:hAnsi="Times New Roman" w:cs="Times New Roman"/>
          <w:sz w:val="24"/>
          <w:szCs w:val="24"/>
        </w:rPr>
        <w:t>by some vendors, researchers</w:t>
      </w:r>
      <w:r w:rsidR="006A7F69">
        <w:rPr>
          <w:rFonts w:ascii="Times New Roman" w:hAnsi="Times New Roman" w:cs="Times New Roman"/>
          <w:sz w:val="24"/>
          <w:szCs w:val="24"/>
        </w:rPr>
        <w:t>,</w:t>
      </w:r>
      <w:r w:rsidR="00706135">
        <w:rPr>
          <w:rFonts w:ascii="Times New Roman" w:hAnsi="Times New Roman" w:cs="Times New Roman"/>
          <w:sz w:val="24"/>
          <w:szCs w:val="24"/>
        </w:rPr>
        <w:t xml:space="preserve"> and graduate students, </w:t>
      </w:r>
      <w:r w:rsidR="000B2F81">
        <w:rPr>
          <w:rFonts w:ascii="Times New Roman" w:hAnsi="Times New Roman" w:cs="Times New Roman"/>
          <w:sz w:val="24"/>
          <w:szCs w:val="24"/>
        </w:rPr>
        <w:t xml:space="preserve">to exercise their individual rights </w:t>
      </w:r>
      <w:r w:rsidR="00624147">
        <w:rPr>
          <w:rFonts w:ascii="Times New Roman" w:hAnsi="Times New Roman" w:cs="Times New Roman"/>
          <w:sz w:val="24"/>
          <w:szCs w:val="24"/>
        </w:rPr>
        <w:t xml:space="preserve">in ways </w:t>
      </w:r>
      <w:r w:rsidR="00706135">
        <w:rPr>
          <w:rFonts w:ascii="Times New Roman" w:hAnsi="Times New Roman" w:cs="Times New Roman"/>
          <w:sz w:val="24"/>
          <w:szCs w:val="24"/>
        </w:rPr>
        <w:t xml:space="preserve">that flood </w:t>
      </w:r>
      <w:r w:rsidR="006A7F69">
        <w:rPr>
          <w:rFonts w:ascii="Times New Roman" w:hAnsi="Times New Roman" w:cs="Times New Roman"/>
          <w:sz w:val="24"/>
          <w:szCs w:val="24"/>
        </w:rPr>
        <w:t>testing organizations</w:t>
      </w:r>
      <w:r w:rsidR="00706135">
        <w:rPr>
          <w:rFonts w:ascii="Times New Roman" w:hAnsi="Times New Roman" w:cs="Times New Roman"/>
          <w:sz w:val="24"/>
          <w:szCs w:val="24"/>
        </w:rPr>
        <w:t xml:space="preserve"> with requests not only </w:t>
      </w:r>
      <w:r w:rsidR="006A7F69">
        <w:rPr>
          <w:rFonts w:ascii="Times New Roman" w:hAnsi="Times New Roman" w:cs="Times New Roman"/>
          <w:sz w:val="24"/>
          <w:szCs w:val="24"/>
        </w:rPr>
        <w:t xml:space="preserve">about the test taker’s </w:t>
      </w:r>
      <w:r w:rsidR="00706135">
        <w:rPr>
          <w:rFonts w:ascii="Times New Roman" w:hAnsi="Times New Roman" w:cs="Times New Roman"/>
          <w:sz w:val="24"/>
          <w:szCs w:val="24"/>
        </w:rPr>
        <w:t xml:space="preserve">“right to know” but </w:t>
      </w:r>
      <w:r w:rsidR="006A7F69">
        <w:rPr>
          <w:rFonts w:ascii="Times New Roman" w:hAnsi="Times New Roman" w:cs="Times New Roman"/>
          <w:sz w:val="24"/>
          <w:szCs w:val="24"/>
        </w:rPr>
        <w:t xml:space="preserve">also for </w:t>
      </w:r>
      <w:r w:rsidR="00706135">
        <w:rPr>
          <w:rFonts w:ascii="Times New Roman" w:hAnsi="Times New Roman" w:cs="Times New Roman"/>
          <w:sz w:val="24"/>
          <w:szCs w:val="24"/>
        </w:rPr>
        <w:t xml:space="preserve">deletion, copies, etc.  </w:t>
      </w:r>
      <w:r w:rsidR="000B2F81">
        <w:rPr>
          <w:rFonts w:ascii="Times New Roman" w:hAnsi="Times New Roman" w:cs="Times New Roman"/>
          <w:sz w:val="24"/>
          <w:szCs w:val="24"/>
        </w:rPr>
        <w:t>There has been a</w:t>
      </w:r>
      <w:r w:rsidR="00827E1F">
        <w:rPr>
          <w:rFonts w:ascii="Times New Roman" w:hAnsi="Times New Roman" w:cs="Times New Roman"/>
          <w:sz w:val="24"/>
          <w:szCs w:val="24"/>
        </w:rPr>
        <w:t xml:space="preserve"> significant</w:t>
      </w:r>
      <w:r w:rsidR="000B2F81">
        <w:rPr>
          <w:rFonts w:ascii="Times New Roman" w:hAnsi="Times New Roman" w:cs="Times New Roman"/>
          <w:sz w:val="24"/>
          <w:szCs w:val="24"/>
        </w:rPr>
        <w:t xml:space="preserve"> uptick in these </w:t>
      </w:r>
      <w:r w:rsidR="00DA178B">
        <w:rPr>
          <w:rFonts w:ascii="Times New Roman" w:hAnsi="Times New Roman" w:cs="Times New Roman"/>
          <w:sz w:val="24"/>
          <w:szCs w:val="24"/>
        </w:rPr>
        <w:t xml:space="preserve">types of </w:t>
      </w:r>
      <w:r w:rsidR="000B2F81">
        <w:rPr>
          <w:rFonts w:ascii="Times New Roman" w:hAnsi="Times New Roman" w:cs="Times New Roman"/>
          <w:sz w:val="24"/>
          <w:szCs w:val="24"/>
        </w:rPr>
        <w:t>requests</w:t>
      </w:r>
      <w:r w:rsidR="009A5814">
        <w:rPr>
          <w:rFonts w:ascii="Times New Roman" w:hAnsi="Times New Roman" w:cs="Times New Roman"/>
          <w:sz w:val="24"/>
          <w:szCs w:val="24"/>
        </w:rPr>
        <w:t xml:space="preserve">, which </w:t>
      </w:r>
      <w:r w:rsidR="003E579F">
        <w:rPr>
          <w:rFonts w:ascii="Times New Roman" w:hAnsi="Times New Roman" w:cs="Times New Roman"/>
          <w:sz w:val="24"/>
          <w:szCs w:val="24"/>
        </w:rPr>
        <w:t>h</w:t>
      </w:r>
      <w:r w:rsidR="009A5814">
        <w:rPr>
          <w:rFonts w:ascii="Times New Roman" w:hAnsi="Times New Roman" w:cs="Times New Roman"/>
          <w:sz w:val="24"/>
          <w:szCs w:val="24"/>
        </w:rPr>
        <w:t>ave</w:t>
      </w:r>
      <w:r w:rsidR="000B2F81">
        <w:rPr>
          <w:rFonts w:ascii="Times New Roman" w:hAnsi="Times New Roman" w:cs="Times New Roman"/>
          <w:sz w:val="24"/>
          <w:szCs w:val="24"/>
        </w:rPr>
        <w:t xml:space="preserve"> </w:t>
      </w:r>
      <w:r w:rsidR="00DA178B">
        <w:rPr>
          <w:rFonts w:ascii="Times New Roman" w:hAnsi="Times New Roman" w:cs="Times New Roman"/>
          <w:sz w:val="24"/>
          <w:szCs w:val="24"/>
        </w:rPr>
        <w:t xml:space="preserve">already </w:t>
      </w:r>
      <w:r w:rsidR="005C0657">
        <w:rPr>
          <w:rFonts w:ascii="Times New Roman" w:hAnsi="Times New Roman" w:cs="Times New Roman"/>
          <w:sz w:val="24"/>
          <w:szCs w:val="24"/>
        </w:rPr>
        <w:t>be</w:t>
      </w:r>
      <w:r w:rsidR="00DA178B">
        <w:rPr>
          <w:rFonts w:ascii="Times New Roman" w:hAnsi="Times New Roman" w:cs="Times New Roman"/>
          <w:sz w:val="24"/>
          <w:szCs w:val="24"/>
        </w:rPr>
        <w:t>com</w:t>
      </w:r>
      <w:r w:rsidR="008E07E4">
        <w:rPr>
          <w:rFonts w:ascii="Times New Roman" w:hAnsi="Times New Roman" w:cs="Times New Roman"/>
          <w:sz w:val="24"/>
          <w:szCs w:val="24"/>
        </w:rPr>
        <w:t>e</w:t>
      </w:r>
      <w:r w:rsidR="00DA178B">
        <w:rPr>
          <w:rFonts w:ascii="Times New Roman" w:hAnsi="Times New Roman" w:cs="Times New Roman"/>
          <w:sz w:val="24"/>
          <w:szCs w:val="24"/>
        </w:rPr>
        <w:t xml:space="preserve"> an</w:t>
      </w:r>
      <w:r w:rsidR="008A00F9">
        <w:rPr>
          <w:rFonts w:ascii="Times New Roman" w:hAnsi="Times New Roman" w:cs="Times New Roman"/>
          <w:sz w:val="24"/>
          <w:szCs w:val="24"/>
        </w:rPr>
        <w:t xml:space="preserve"> overwhelming </w:t>
      </w:r>
      <w:r w:rsidR="00DA178B">
        <w:rPr>
          <w:rFonts w:ascii="Times New Roman" w:hAnsi="Times New Roman" w:cs="Times New Roman"/>
          <w:sz w:val="24"/>
          <w:szCs w:val="24"/>
        </w:rPr>
        <w:t xml:space="preserve">burden </w:t>
      </w:r>
      <w:r w:rsidR="008A00F9">
        <w:rPr>
          <w:rFonts w:ascii="Times New Roman" w:hAnsi="Times New Roman" w:cs="Times New Roman"/>
          <w:sz w:val="24"/>
          <w:szCs w:val="24"/>
        </w:rPr>
        <w:t xml:space="preserve">for </w:t>
      </w:r>
      <w:r w:rsidR="00DA178B">
        <w:rPr>
          <w:rFonts w:ascii="Times New Roman" w:hAnsi="Times New Roman" w:cs="Times New Roman"/>
          <w:sz w:val="24"/>
          <w:szCs w:val="24"/>
        </w:rPr>
        <w:t>testing organizations</w:t>
      </w:r>
      <w:r w:rsidR="00373958">
        <w:rPr>
          <w:rFonts w:ascii="Times New Roman" w:hAnsi="Times New Roman" w:cs="Times New Roman"/>
          <w:sz w:val="24"/>
          <w:szCs w:val="24"/>
        </w:rPr>
        <w:t>.</w:t>
      </w:r>
      <w:r w:rsidR="00E27611">
        <w:rPr>
          <w:rStyle w:val="FootnoteReference"/>
          <w:rFonts w:ascii="Times New Roman" w:hAnsi="Times New Roman" w:cs="Times New Roman"/>
          <w:sz w:val="24"/>
          <w:szCs w:val="24"/>
        </w:rPr>
        <w:footnoteReference w:id="15"/>
      </w:r>
      <w:r w:rsidR="00373958">
        <w:rPr>
          <w:rFonts w:ascii="Times New Roman" w:hAnsi="Times New Roman" w:cs="Times New Roman"/>
          <w:sz w:val="24"/>
          <w:szCs w:val="24"/>
        </w:rPr>
        <w:t xml:space="preserve">  </w:t>
      </w:r>
      <w:r w:rsidR="00D155A1">
        <w:rPr>
          <w:rFonts w:ascii="Times New Roman" w:hAnsi="Times New Roman" w:cs="Times New Roman"/>
          <w:sz w:val="24"/>
          <w:szCs w:val="24"/>
        </w:rPr>
        <w:t xml:space="preserve"> </w:t>
      </w:r>
      <w:r w:rsidR="00373958">
        <w:rPr>
          <w:rFonts w:ascii="Times New Roman" w:hAnsi="Times New Roman" w:cs="Times New Roman"/>
          <w:sz w:val="24"/>
          <w:szCs w:val="24"/>
        </w:rPr>
        <w:t xml:space="preserve">In fact, there is </w:t>
      </w:r>
      <w:r w:rsidR="000E6173">
        <w:rPr>
          <w:rFonts w:ascii="Times New Roman" w:hAnsi="Times New Roman" w:cs="Times New Roman"/>
          <w:sz w:val="24"/>
          <w:szCs w:val="24"/>
        </w:rPr>
        <w:t xml:space="preserve">apparently </w:t>
      </w:r>
      <w:r w:rsidR="00D155A1">
        <w:rPr>
          <w:rFonts w:ascii="Times New Roman" w:hAnsi="Times New Roman" w:cs="Times New Roman"/>
          <w:sz w:val="24"/>
          <w:szCs w:val="24"/>
        </w:rPr>
        <w:t xml:space="preserve">no cut-off date for when a business needs to go back to provide </w:t>
      </w:r>
      <w:r w:rsidR="009410DA">
        <w:rPr>
          <w:rFonts w:ascii="Times New Roman" w:hAnsi="Times New Roman" w:cs="Times New Roman"/>
          <w:sz w:val="24"/>
          <w:szCs w:val="24"/>
        </w:rPr>
        <w:t>available personal information</w:t>
      </w:r>
      <w:r w:rsidR="008A00F9">
        <w:rPr>
          <w:rFonts w:ascii="Times New Roman" w:hAnsi="Times New Roman" w:cs="Times New Roman"/>
          <w:sz w:val="24"/>
          <w:szCs w:val="24"/>
        </w:rPr>
        <w:t xml:space="preserve">. </w:t>
      </w:r>
      <w:r w:rsidR="00E93ADC">
        <w:rPr>
          <w:rFonts w:ascii="Times New Roman" w:hAnsi="Times New Roman" w:cs="Times New Roman"/>
          <w:sz w:val="24"/>
          <w:szCs w:val="24"/>
        </w:rPr>
        <w:t xml:space="preserve"> </w:t>
      </w:r>
      <w:r w:rsidR="009410DA">
        <w:rPr>
          <w:rFonts w:ascii="Times New Roman" w:hAnsi="Times New Roman" w:cs="Times New Roman"/>
          <w:sz w:val="24"/>
          <w:szCs w:val="24"/>
        </w:rPr>
        <w:t>For test</w:t>
      </w:r>
      <w:r w:rsidR="006301E7">
        <w:rPr>
          <w:rFonts w:ascii="Times New Roman" w:hAnsi="Times New Roman" w:cs="Times New Roman"/>
          <w:sz w:val="24"/>
          <w:szCs w:val="24"/>
        </w:rPr>
        <w:t>i</w:t>
      </w:r>
      <w:r w:rsidR="009410DA">
        <w:rPr>
          <w:rFonts w:ascii="Times New Roman" w:hAnsi="Times New Roman" w:cs="Times New Roman"/>
          <w:sz w:val="24"/>
          <w:szCs w:val="24"/>
        </w:rPr>
        <w:t xml:space="preserve">ng organizations, where individuals may test </w:t>
      </w:r>
      <w:r w:rsidR="00887459">
        <w:rPr>
          <w:rFonts w:ascii="Times New Roman" w:hAnsi="Times New Roman" w:cs="Times New Roman"/>
          <w:sz w:val="24"/>
          <w:szCs w:val="24"/>
        </w:rPr>
        <w:t xml:space="preserve">several times over extended periods of time, such a proposed regulation would </w:t>
      </w:r>
      <w:r w:rsidR="00586AB0">
        <w:rPr>
          <w:rFonts w:ascii="Times New Roman" w:hAnsi="Times New Roman" w:cs="Times New Roman"/>
          <w:sz w:val="24"/>
          <w:szCs w:val="24"/>
        </w:rPr>
        <w:t xml:space="preserve">require looking back well beyond one year, covering multiple testing events.  </w:t>
      </w:r>
      <w:r w:rsidR="008E07E4">
        <w:rPr>
          <w:rFonts w:ascii="Times New Roman" w:hAnsi="Times New Roman" w:cs="Times New Roman"/>
          <w:sz w:val="24"/>
          <w:szCs w:val="24"/>
        </w:rPr>
        <w:t xml:space="preserve">It is equally possible that </w:t>
      </w:r>
      <w:r w:rsidR="00CC60FE">
        <w:rPr>
          <w:rFonts w:ascii="Times New Roman" w:hAnsi="Times New Roman" w:cs="Times New Roman"/>
          <w:sz w:val="24"/>
          <w:szCs w:val="24"/>
        </w:rPr>
        <w:t xml:space="preserve">application of the proposed regulation would be inconsistent with the testing organization’s </w:t>
      </w:r>
      <w:r w:rsidR="001814E3">
        <w:rPr>
          <w:rFonts w:ascii="Times New Roman" w:hAnsi="Times New Roman" w:cs="Times New Roman"/>
          <w:sz w:val="24"/>
          <w:szCs w:val="24"/>
        </w:rPr>
        <w:t xml:space="preserve">existing </w:t>
      </w:r>
      <w:r w:rsidR="00CC60FE">
        <w:rPr>
          <w:rFonts w:ascii="Times New Roman" w:hAnsi="Times New Roman" w:cs="Times New Roman"/>
          <w:sz w:val="24"/>
          <w:szCs w:val="24"/>
        </w:rPr>
        <w:t>retention policy</w:t>
      </w:r>
      <w:r w:rsidR="00400E5B">
        <w:rPr>
          <w:rFonts w:ascii="Times New Roman" w:hAnsi="Times New Roman" w:cs="Times New Roman"/>
          <w:sz w:val="24"/>
          <w:szCs w:val="24"/>
        </w:rPr>
        <w:t xml:space="preserve"> for test takers’ personal information.</w:t>
      </w:r>
      <w:r w:rsidR="00400E5B">
        <w:rPr>
          <w:rFonts w:ascii="Times New Roman" w:hAnsi="Times New Roman" w:cs="Times New Roman"/>
          <w:b/>
          <w:bCs/>
          <w:sz w:val="24"/>
          <w:szCs w:val="24"/>
        </w:rPr>
        <w:t xml:space="preserve"> </w:t>
      </w:r>
      <w:r w:rsidR="00DA178B">
        <w:rPr>
          <w:rFonts w:ascii="Times New Roman" w:hAnsi="Times New Roman" w:cs="Times New Roman"/>
          <w:b/>
          <w:bCs/>
          <w:sz w:val="24"/>
          <w:szCs w:val="24"/>
        </w:rPr>
        <w:t xml:space="preserve"> </w:t>
      </w:r>
      <w:r w:rsidR="00400E5B" w:rsidRPr="00675C2F">
        <w:rPr>
          <w:rFonts w:ascii="Times New Roman" w:hAnsi="Times New Roman" w:cs="Times New Roman"/>
          <w:sz w:val="24"/>
          <w:szCs w:val="24"/>
        </w:rPr>
        <w:t>Accordingly, th</w:t>
      </w:r>
      <w:r w:rsidR="00DA178B" w:rsidRPr="00675C2F">
        <w:rPr>
          <w:rFonts w:ascii="Times New Roman" w:hAnsi="Times New Roman" w:cs="Times New Roman"/>
          <w:sz w:val="24"/>
          <w:szCs w:val="24"/>
        </w:rPr>
        <w:t>e ATP</w:t>
      </w:r>
      <w:r w:rsidR="008A00F9" w:rsidRPr="00675C2F">
        <w:rPr>
          <w:rFonts w:ascii="Times New Roman" w:hAnsi="Times New Roman" w:cs="Times New Roman"/>
          <w:sz w:val="24"/>
          <w:szCs w:val="24"/>
        </w:rPr>
        <w:t xml:space="preserve"> urge</w:t>
      </w:r>
      <w:r w:rsidR="00DA178B" w:rsidRPr="00675C2F">
        <w:rPr>
          <w:rFonts w:ascii="Times New Roman" w:hAnsi="Times New Roman" w:cs="Times New Roman"/>
          <w:sz w:val="24"/>
          <w:szCs w:val="24"/>
        </w:rPr>
        <w:t>s</w:t>
      </w:r>
      <w:r w:rsidR="008A00F9" w:rsidRPr="00675C2F">
        <w:rPr>
          <w:rFonts w:ascii="Times New Roman" w:hAnsi="Times New Roman" w:cs="Times New Roman"/>
          <w:sz w:val="24"/>
          <w:szCs w:val="24"/>
        </w:rPr>
        <w:t xml:space="preserve"> the Agency to remove </w:t>
      </w:r>
      <w:r w:rsidR="00DA178B" w:rsidRPr="00675C2F">
        <w:rPr>
          <w:rFonts w:ascii="Times New Roman" w:hAnsi="Times New Roman" w:cs="Times New Roman"/>
          <w:sz w:val="24"/>
          <w:szCs w:val="24"/>
        </w:rPr>
        <w:t>both the</w:t>
      </w:r>
      <w:r w:rsidR="008A00F9" w:rsidRPr="00675C2F">
        <w:rPr>
          <w:rFonts w:ascii="Times New Roman" w:hAnsi="Times New Roman" w:cs="Times New Roman"/>
          <w:sz w:val="24"/>
          <w:szCs w:val="24"/>
        </w:rPr>
        <w:t xml:space="preserve"> requirement that businesses must </w:t>
      </w:r>
      <w:r w:rsidR="00E93ADC" w:rsidRPr="00675C2F">
        <w:rPr>
          <w:rFonts w:ascii="Times New Roman" w:hAnsi="Times New Roman" w:cs="Times New Roman"/>
          <w:sz w:val="24"/>
          <w:szCs w:val="24"/>
        </w:rPr>
        <w:t>provide</w:t>
      </w:r>
      <w:r w:rsidR="008A00F9" w:rsidRPr="00675C2F">
        <w:rPr>
          <w:rFonts w:ascii="Times New Roman" w:hAnsi="Times New Roman" w:cs="Times New Roman"/>
          <w:sz w:val="24"/>
          <w:szCs w:val="24"/>
        </w:rPr>
        <w:t xml:space="preserve"> a detailed description about why the request was denied beyond lack of verification</w:t>
      </w:r>
      <w:r w:rsidR="00370241" w:rsidRPr="00675C2F">
        <w:rPr>
          <w:rFonts w:ascii="Times New Roman" w:hAnsi="Times New Roman" w:cs="Times New Roman"/>
          <w:sz w:val="24"/>
          <w:szCs w:val="24"/>
        </w:rPr>
        <w:t>, and that businesses should be required to look back beyond 12 months for an</w:t>
      </w:r>
      <w:r w:rsidR="00C4677B" w:rsidRPr="00675C2F">
        <w:rPr>
          <w:rFonts w:ascii="Times New Roman" w:hAnsi="Times New Roman" w:cs="Times New Roman"/>
          <w:sz w:val="24"/>
          <w:szCs w:val="24"/>
        </w:rPr>
        <w:t>y</w:t>
      </w:r>
      <w:r w:rsidR="00370241" w:rsidRPr="00675C2F">
        <w:rPr>
          <w:rFonts w:ascii="Times New Roman" w:hAnsi="Times New Roman" w:cs="Times New Roman"/>
          <w:sz w:val="24"/>
          <w:szCs w:val="24"/>
        </w:rPr>
        <w:t xml:space="preserve"> </w:t>
      </w:r>
      <w:r w:rsidR="005C0657" w:rsidRPr="00675C2F">
        <w:rPr>
          <w:rFonts w:ascii="Times New Roman" w:hAnsi="Times New Roman" w:cs="Times New Roman"/>
          <w:sz w:val="24"/>
          <w:szCs w:val="24"/>
        </w:rPr>
        <w:t>individual</w:t>
      </w:r>
      <w:r w:rsidR="00C4677B" w:rsidRPr="00675C2F">
        <w:rPr>
          <w:rFonts w:ascii="Times New Roman" w:hAnsi="Times New Roman" w:cs="Times New Roman"/>
          <w:sz w:val="24"/>
          <w:szCs w:val="24"/>
        </w:rPr>
        <w:t>’</w:t>
      </w:r>
      <w:r w:rsidR="005C0657" w:rsidRPr="00675C2F">
        <w:rPr>
          <w:rFonts w:ascii="Times New Roman" w:hAnsi="Times New Roman" w:cs="Times New Roman"/>
          <w:sz w:val="24"/>
          <w:szCs w:val="24"/>
        </w:rPr>
        <w:t>s</w:t>
      </w:r>
      <w:r w:rsidR="00370241" w:rsidRPr="00675C2F">
        <w:rPr>
          <w:rFonts w:ascii="Times New Roman" w:hAnsi="Times New Roman" w:cs="Times New Roman"/>
          <w:sz w:val="24"/>
          <w:szCs w:val="24"/>
        </w:rPr>
        <w:t xml:space="preserve"> personal information. </w:t>
      </w:r>
      <w:r w:rsidR="00586AB0" w:rsidRPr="00675C2F">
        <w:rPr>
          <w:rFonts w:ascii="Times New Roman" w:hAnsi="Times New Roman" w:cs="Times New Roman"/>
          <w:sz w:val="24"/>
          <w:szCs w:val="24"/>
        </w:rPr>
        <w:t xml:space="preserve"> </w:t>
      </w:r>
      <w:r w:rsidR="00C20E68" w:rsidRPr="00675C2F">
        <w:rPr>
          <w:rFonts w:ascii="Times New Roman" w:hAnsi="Times New Roman" w:cs="Times New Roman"/>
          <w:sz w:val="24"/>
          <w:szCs w:val="24"/>
        </w:rPr>
        <w:t xml:space="preserve">While the ATP </w:t>
      </w:r>
      <w:r w:rsidR="00FE4B0F" w:rsidRPr="00675C2F">
        <w:rPr>
          <w:rFonts w:ascii="Times New Roman" w:hAnsi="Times New Roman" w:cs="Times New Roman"/>
          <w:sz w:val="24"/>
          <w:szCs w:val="24"/>
        </w:rPr>
        <w:t>believes that no business should be required to respond to requests for more than</w:t>
      </w:r>
      <w:r w:rsidR="00C97199" w:rsidRPr="00675C2F">
        <w:rPr>
          <w:rFonts w:ascii="Times New Roman" w:hAnsi="Times New Roman" w:cs="Times New Roman"/>
          <w:sz w:val="24"/>
          <w:szCs w:val="24"/>
        </w:rPr>
        <w:t xml:space="preserve"> a one-year </w:t>
      </w:r>
      <w:r w:rsidR="00ED6B35" w:rsidRPr="00675C2F">
        <w:rPr>
          <w:rFonts w:ascii="Times New Roman" w:hAnsi="Times New Roman" w:cs="Times New Roman"/>
          <w:sz w:val="24"/>
          <w:szCs w:val="24"/>
        </w:rPr>
        <w:t xml:space="preserve">period of </w:t>
      </w:r>
      <w:r w:rsidR="00C97199" w:rsidRPr="00675C2F">
        <w:rPr>
          <w:rFonts w:ascii="Times New Roman" w:hAnsi="Times New Roman" w:cs="Times New Roman"/>
          <w:sz w:val="24"/>
          <w:szCs w:val="24"/>
        </w:rPr>
        <w:t>time, a</w:t>
      </w:r>
      <w:r w:rsidR="00586AB0" w:rsidRPr="00675C2F">
        <w:rPr>
          <w:rFonts w:ascii="Times New Roman" w:hAnsi="Times New Roman" w:cs="Times New Roman"/>
          <w:sz w:val="24"/>
          <w:szCs w:val="24"/>
        </w:rPr>
        <w:t xml:space="preserve">t a minimum, the Agency should modify its proposal to require the individual requester to identify the </w:t>
      </w:r>
      <w:r w:rsidR="00E439C6" w:rsidRPr="00675C2F">
        <w:rPr>
          <w:rFonts w:ascii="Times New Roman" w:hAnsi="Times New Roman" w:cs="Times New Roman"/>
          <w:sz w:val="24"/>
          <w:szCs w:val="24"/>
        </w:rPr>
        <w:t xml:space="preserve">specific </w:t>
      </w:r>
      <w:r w:rsidR="00586AB0" w:rsidRPr="00675C2F">
        <w:rPr>
          <w:rFonts w:ascii="Times New Roman" w:hAnsi="Times New Roman" w:cs="Times New Roman"/>
          <w:sz w:val="24"/>
          <w:szCs w:val="24"/>
        </w:rPr>
        <w:t xml:space="preserve">time frame within which </w:t>
      </w:r>
      <w:r w:rsidR="00551326">
        <w:rPr>
          <w:rFonts w:ascii="Times New Roman" w:hAnsi="Times New Roman" w:cs="Times New Roman"/>
          <w:sz w:val="24"/>
          <w:szCs w:val="24"/>
        </w:rPr>
        <w:t xml:space="preserve">the person </w:t>
      </w:r>
      <w:r w:rsidR="00586AB0" w:rsidRPr="00675C2F">
        <w:rPr>
          <w:rFonts w:ascii="Times New Roman" w:hAnsi="Times New Roman" w:cs="Times New Roman"/>
          <w:sz w:val="24"/>
          <w:szCs w:val="24"/>
        </w:rPr>
        <w:t>is seeking information</w:t>
      </w:r>
      <w:r w:rsidR="00F21B56" w:rsidRPr="00675C2F">
        <w:rPr>
          <w:rFonts w:ascii="Times New Roman" w:hAnsi="Times New Roman" w:cs="Times New Roman"/>
          <w:sz w:val="24"/>
          <w:szCs w:val="24"/>
        </w:rPr>
        <w:t xml:space="preserve"> if it i</w:t>
      </w:r>
      <w:r w:rsidR="00F70663" w:rsidRPr="00675C2F">
        <w:rPr>
          <w:rFonts w:ascii="Times New Roman" w:hAnsi="Times New Roman" w:cs="Times New Roman"/>
          <w:sz w:val="24"/>
          <w:szCs w:val="24"/>
        </w:rPr>
        <w:t>s outside of one year’s records</w:t>
      </w:r>
      <w:r w:rsidR="00586AB0" w:rsidRPr="00675C2F">
        <w:rPr>
          <w:rFonts w:ascii="Times New Roman" w:hAnsi="Times New Roman" w:cs="Times New Roman"/>
          <w:sz w:val="24"/>
          <w:szCs w:val="24"/>
        </w:rPr>
        <w:t xml:space="preserve">, so the business is able to focus its response on a </w:t>
      </w:r>
      <w:r w:rsidR="00C20E68" w:rsidRPr="00675C2F">
        <w:rPr>
          <w:rFonts w:ascii="Times New Roman" w:hAnsi="Times New Roman" w:cs="Times New Roman"/>
          <w:sz w:val="24"/>
          <w:szCs w:val="24"/>
        </w:rPr>
        <w:t xml:space="preserve">clearly defined time period. </w:t>
      </w:r>
    </w:p>
    <w:p w14:paraId="7A43D45C" w14:textId="270FC529" w:rsidR="006F5FDC" w:rsidRPr="00BF4360" w:rsidRDefault="001E137F" w:rsidP="00BF4360">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lastRenderedPageBreak/>
        <w:t xml:space="preserve">Section </w:t>
      </w:r>
      <w:r w:rsidR="009D3D6E" w:rsidRPr="001E137F">
        <w:rPr>
          <w:rFonts w:ascii="Times New Roman" w:hAnsi="Times New Roman" w:cs="Times New Roman"/>
          <w:b/>
          <w:bCs/>
          <w:sz w:val="24"/>
          <w:szCs w:val="24"/>
        </w:rPr>
        <w:t xml:space="preserve">7025 </w:t>
      </w:r>
      <w:r w:rsidR="00B81556" w:rsidRPr="001E137F">
        <w:rPr>
          <w:rFonts w:ascii="Times New Roman" w:hAnsi="Times New Roman" w:cs="Times New Roman"/>
          <w:b/>
          <w:bCs/>
          <w:sz w:val="24"/>
          <w:szCs w:val="24"/>
        </w:rPr>
        <w:t>Opt</w:t>
      </w:r>
      <w:r w:rsidR="00FD5826">
        <w:rPr>
          <w:rFonts w:ascii="Times New Roman" w:hAnsi="Times New Roman" w:cs="Times New Roman"/>
          <w:b/>
          <w:bCs/>
          <w:sz w:val="24"/>
          <w:szCs w:val="24"/>
        </w:rPr>
        <w:t>-</w:t>
      </w:r>
      <w:r w:rsidR="00B81556" w:rsidRPr="001E137F">
        <w:rPr>
          <w:rFonts w:ascii="Times New Roman" w:hAnsi="Times New Roman" w:cs="Times New Roman"/>
          <w:b/>
          <w:bCs/>
          <w:sz w:val="24"/>
          <w:szCs w:val="24"/>
        </w:rPr>
        <w:t xml:space="preserve">out </w:t>
      </w:r>
      <w:r w:rsidR="00681D4C" w:rsidRPr="001E137F">
        <w:rPr>
          <w:rFonts w:ascii="Times New Roman" w:hAnsi="Times New Roman" w:cs="Times New Roman"/>
          <w:b/>
          <w:bCs/>
          <w:sz w:val="24"/>
          <w:szCs w:val="24"/>
        </w:rPr>
        <w:t xml:space="preserve">Preference </w:t>
      </w:r>
      <w:r w:rsidR="00B81556" w:rsidRPr="001E137F">
        <w:rPr>
          <w:rFonts w:ascii="Times New Roman" w:hAnsi="Times New Roman" w:cs="Times New Roman"/>
          <w:b/>
          <w:bCs/>
          <w:sz w:val="24"/>
          <w:szCs w:val="24"/>
        </w:rPr>
        <w:t>Signals</w:t>
      </w:r>
      <w:r w:rsidR="00681D4C" w:rsidRPr="001E137F">
        <w:rPr>
          <w:rFonts w:ascii="Times New Roman" w:hAnsi="Times New Roman" w:cs="Times New Roman"/>
          <w:b/>
          <w:bCs/>
          <w:sz w:val="24"/>
          <w:szCs w:val="24"/>
        </w:rPr>
        <w:t xml:space="preserve"> and Section 7026 Opting out of Sale/Sharing</w:t>
      </w:r>
      <w:r w:rsidR="000A31B0" w:rsidRPr="001E137F">
        <w:rPr>
          <w:rFonts w:ascii="Times New Roman" w:hAnsi="Times New Roman" w:cs="Times New Roman"/>
          <w:sz w:val="24"/>
          <w:szCs w:val="24"/>
        </w:rPr>
        <w:t xml:space="preserve"> </w:t>
      </w:r>
    </w:p>
    <w:p w14:paraId="27DC3988" w14:textId="77777777" w:rsidR="00BF4360" w:rsidRDefault="00BF4360" w:rsidP="000A31B0">
      <w:pPr>
        <w:pStyle w:val="ListParagraph"/>
        <w:ind w:left="0" w:firstLine="450"/>
        <w:rPr>
          <w:rFonts w:ascii="Times New Roman" w:hAnsi="Times New Roman" w:cs="Times New Roman"/>
          <w:sz w:val="24"/>
          <w:szCs w:val="24"/>
        </w:rPr>
      </w:pPr>
    </w:p>
    <w:p w14:paraId="1A9F598B" w14:textId="1428F336" w:rsidR="0002732D" w:rsidRDefault="006F5FDC" w:rsidP="000A31B0">
      <w:pPr>
        <w:pStyle w:val="ListParagraph"/>
        <w:ind w:left="0" w:firstLine="450"/>
        <w:rPr>
          <w:rFonts w:ascii="Times New Roman" w:hAnsi="Times New Roman" w:cs="Times New Roman"/>
          <w:sz w:val="24"/>
          <w:szCs w:val="24"/>
        </w:rPr>
      </w:pPr>
      <w:r>
        <w:rPr>
          <w:rFonts w:ascii="Times New Roman" w:hAnsi="Times New Roman" w:cs="Times New Roman"/>
          <w:sz w:val="24"/>
          <w:szCs w:val="24"/>
        </w:rPr>
        <w:t>In</w:t>
      </w:r>
      <w:r w:rsidR="006B372A">
        <w:rPr>
          <w:rFonts w:ascii="Times New Roman" w:hAnsi="Times New Roman" w:cs="Times New Roman"/>
          <w:sz w:val="24"/>
          <w:szCs w:val="24"/>
        </w:rPr>
        <w:t xml:space="preserve"> general</w:t>
      </w:r>
      <w:r w:rsidR="00F918BE">
        <w:rPr>
          <w:rFonts w:ascii="Times New Roman" w:hAnsi="Times New Roman" w:cs="Times New Roman"/>
          <w:sz w:val="24"/>
          <w:szCs w:val="24"/>
        </w:rPr>
        <w:t>,</w:t>
      </w:r>
      <w:r w:rsidR="006B372A">
        <w:rPr>
          <w:rFonts w:ascii="Times New Roman" w:hAnsi="Times New Roman" w:cs="Times New Roman"/>
          <w:sz w:val="24"/>
          <w:szCs w:val="24"/>
        </w:rPr>
        <w:t xml:space="preserve"> </w:t>
      </w:r>
      <w:r w:rsidR="00F918BE">
        <w:rPr>
          <w:rFonts w:ascii="Times New Roman" w:hAnsi="Times New Roman" w:cs="Times New Roman"/>
          <w:sz w:val="24"/>
          <w:szCs w:val="24"/>
        </w:rPr>
        <w:t>testing organizations</w:t>
      </w:r>
      <w:r w:rsidR="006B372A">
        <w:rPr>
          <w:rFonts w:ascii="Times New Roman" w:hAnsi="Times New Roman" w:cs="Times New Roman"/>
          <w:sz w:val="24"/>
          <w:szCs w:val="24"/>
        </w:rPr>
        <w:t xml:space="preserve"> are </w:t>
      </w:r>
      <w:r w:rsidR="004E1EA1">
        <w:rPr>
          <w:rFonts w:ascii="Times New Roman" w:hAnsi="Times New Roman" w:cs="Times New Roman"/>
          <w:sz w:val="24"/>
          <w:szCs w:val="24"/>
        </w:rPr>
        <w:t xml:space="preserve">NOT </w:t>
      </w:r>
      <w:r w:rsidR="006B372A">
        <w:rPr>
          <w:rFonts w:ascii="Times New Roman" w:hAnsi="Times New Roman" w:cs="Times New Roman"/>
          <w:sz w:val="24"/>
          <w:szCs w:val="24"/>
        </w:rPr>
        <w:t>selling or sharing consumers’ personal information</w:t>
      </w:r>
      <w:r w:rsidR="00ED4892">
        <w:rPr>
          <w:rFonts w:ascii="Times New Roman" w:hAnsi="Times New Roman" w:cs="Times New Roman"/>
          <w:sz w:val="24"/>
          <w:szCs w:val="24"/>
        </w:rPr>
        <w:t xml:space="preserve"> – their use of PI is internal </w:t>
      </w:r>
      <w:r w:rsidR="004E1EA1">
        <w:rPr>
          <w:rFonts w:ascii="Times New Roman" w:hAnsi="Times New Roman" w:cs="Times New Roman"/>
          <w:sz w:val="24"/>
          <w:szCs w:val="24"/>
        </w:rPr>
        <w:t xml:space="preserve">(e.g., research to establish test norms or to improve the tests themselves) </w:t>
      </w:r>
      <w:r w:rsidR="00ED4892">
        <w:rPr>
          <w:rFonts w:ascii="Times New Roman" w:hAnsi="Times New Roman" w:cs="Times New Roman"/>
          <w:sz w:val="24"/>
          <w:szCs w:val="24"/>
        </w:rPr>
        <w:t xml:space="preserve">or </w:t>
      </w:r>
      <w:r w:rsidR="004E1EA1">
        <w:rPr>
          <w:rFonts w:ascii="Times New Roman" w:hAnsi="Times New Roman" w:cs="Times New Roman"/>
          <w:sz w:val="24"/>
          <w:szCs w:val="24"/>
        </w:rPr>
        <w:t xml:space="preserve">is shared with </w:t>
      </w:r>
      <w:r w:rsidR="00600AE2">
        <w:rPr>
          <w:rFonts w:ascii="Times New Roman" w:hAnsi="Times New Roman" w:cs="Times New Roman"/>
          <w:sz w:val="24"/>
          <w:szCs w:val="24"/>
        </w:rPr>
        <w:t>service providers under contract</w:t>
      </w:r>
      <w:r w:rsidR="004E1EA1">
        <w:rPr>
          <w:rFonts w:ascii="Times New Roman" w:hAnsi="Times New Roman" w:cs="Times New Roman"/>
          <w:sz w:val="24"/>
          <w:szCs w:val="24"/>
        </w:rPr>
        <w:t xml:space="preserve"> in the performance of testing services</w:t>
      </w:r>
      <w:r w:rsidR="006B372A">
        <w:rPr>
          <w:rFonts w:ascii="Times New Roman" w:hAnsi="Times New Roman" w:cs="Times New Roman"/>
          <w:sz w:val="24"/>
          <w:szCs w:val="24"/>
        </w:rPr>
        <w:t xml:space="preserve">. However, </w:t>
      </w:r>
      <w:r w:rsidR="004A6577">
        <w:rPr>
          <w:rFonts w:ascii="Times New Roman" w:hAnsi="Times New Roman" w:cs="Times New Roman"/>
          <w:sz w:val="24"/>
          <w:szCs w:val="24"/>
        </w:rPr>
        <w:t xml:space="preserve">in some instances, </w:t>
      </w:r>
      <w:r w:rsidR="00600AE2">
        <w:rPr>
          <w:rFonts w:ascii="Times New Roman" w:hAnsi="Times New Roman" w:cs="Times New Roman"/>
          <w:sz w:val="24"/>
          <w:szCs w:val="24"/>
        </w:rPr>
        <w:t>a testing</w:t>
      </w:r>
      <w:r w:rsidR="004A6577">
        <w:rPr>
          <w:rFonts w:ascii="Times New Roman" w:hAnsi="Times New Roman" w:cs="Times New Roman"/>
          <w:sz w:val="24"/>
          <w:szCs w:val="24"/>
        </w:rPr>
        <w:t xml:space="preserve"> organization</w:t>
      </w:r>
      <w:r w:rsidR="006B372A">
        <w:rPr>
          <w:rFonts w:ascii="Times New Roman" w:hAnsi="Times New Roman" w:cs="Times New Roman"/>
          <w:sz w:val="24"/>
          <w:szCs w:val="24"/>
        </w:rPr>
        <w:t xml:space="preserve"> may use </w:t>
      </w:r>
      <w:r w:rsidR="004A6577">
        <w:rPr>
          <w:rFonts w:ascii="Times New Roman" w:hAnsi="Times New Roman" w:cs="Times New Roman"/>
          <w:sz w:val="24"/>
          <w:szCs w:val="24"/>
        </w:rPr>
        <w:t xml:space="preserve">data </w:t>
      </w:r>
      <w:r w:rsidR="006B372A">
        <w:rPr>
          <w:rFonts w:ascii="Times New Roman" w:hAnsi="Times New Roman" w:cs="Times New Roman"/>
          <w:sz w:val="24"/>
          <w:szCs w:val="24"/>
        </w:rPr>
        <w:t xml:space="preserve">analytics </w:t>
      </w:r>
      <w:r w:rsidR="004A6577">
        <w:rPr>
          <w:rFonts w:ascii="Times New Roman" w:hAnsi="Times New Roman" w:cs="Times New Roman"/>
          <w:sz w:val="24"/>
          <w:szCs w:val="24"/>
        </w:rPr>
        <w:t xml:space="preserve">service </w:t>
      </w:r>
      <w:r w:rsidR="006B372A">
        <w:rPr>
          <w:rFonts w:ascii="Times New Roman" w:hAnsi="Times New Roman" w:cs="Times New Roman"/>
          <w:sz w:val="24"/>
          <w:szCs w:val="24"/>
        </w:rPr>
        <w:t xml:space="preserve">providers to </w:t>
      </w:r>
      <w:r w:rsidR="00205687">
        <w:rPr>
          <w:rFonts w:ascii="Times New Roman" w:hAnsi="Times New Roman" w:cs="Times New Roman"/>
          <w:sz w:val="24"/>
          <w:szCs w:val="24"/>
        </w:rPr>
        <w:t xml:space="preserve">assist with </w:t>
      </w:r>
      <w:r w:rsidR="006B372A">
        <w:rPr>
          <w:rFonts w:ascii="Times New Roman" w:hAnsi="Times New Roman" w:cs="Times New Roman"/>
          <w:sz w:val="24"/>
          <w:szCs w:val="24"/>
        </w:rPr>
        <w:t>operat</w:t>
      </w:r>
      <w:r w:rsidR="00205687">
        <w:rPr>
          <w:rFonts w:ascii="Times New Roman" w:hAnsi="Times New Roman" w:cs="Times New Roman"/>
          <w:sz w:val="24"/>
          <w:szCs w:val="24"/>
        </w:rPr>
        <w:t>ions of</w:t>
      </w:r>
      <w:r w:rsidR="006B372A">
        <w:rPr>
          <w:rFonts w:ascii="Times New Roman" w:hAnsi="Times New Roman" w:cs="Times New Roman"/>
          <w:sz w:val="24"/>
          <w:szCs w:val="24"/>
        </w:rPr>
        <w:t xml:space="preserve"> their websites and testing platforms. In these instances, the </w:t>
      </w:r>
      <w:r w:rsidR="004A6577">
        <w:rPr>
          <w:rFonts w:ascii="Times New Roman" w:hAnsi="Times New Roman" w:cs="Times New Roman"/>
          <w:sz w:val="24"/>
          <w:szCs w:val="24"/>
        </w:rPr>
        <w:t>bu</w:t>
      </w:r>
      <w:r w:rsidR="0084539E">
        <w:rPr>
          <w:rFonts w:ascii="Times New Roman" w:hAnsi="Times New Roman" w:cs="Times New Roman"/>
          <w:sz w:val="24"/>
          <w:szCs w:val="24"/>
        </w:rPr>
        <w:t>s</w:t>
      </w:r>
      <w:r w:rsidR="004A6577">
        <w:rPr>
          <w:rFonts w:ascii="Times New Roman" w:hAnsi="Times New Roman" w:cs="Times New Roman"/>
          <w:sz w:val="24"/>
          <w:szCs w:val="24"/>
        </w:rPr>
        <w:t>iness</w:t>
      </w:r>
      <w:r w:rsidR="006B372A">
        <w:rPr>
          <w:rFonts w:ascii="Times New Roman" w:hAnsi="Times New Roman" w:cs="Times New Roman"/>
          <w:sz w:val="24"/>
          <w:szCs w:val="24"/>
        </w:rPr>
        <w:t xml:space="preserve"> would have an agreement with </w:t>
      </w:r>
      <w:r w:rsidR="003425DC">
        <w:rPr>
          <w:rFonts w:ascii="Times New Roman" w:hAnsi="Times New Roman" w:cs="Times New Roman"/>
          <w:sz w:val="24"/>
          <w:szCs w:val="24"/>
        </w:rPr>
        <w:t xml:space="preserve">an </w:t>
      </w:r>
      <w:r w:rsidR="00600AE2">
        <w:rPr>
          <w:rFonts w:ascii="Times New Roman" w:hAnsi="Times New Roman" w:cs="Times New Roman"/>
          <w:sz w:val="24"/>
          <w:szCs w:val="24"/>
        </w:rPr>
        <w:t xml:space="preserve">analytics </w:t>
      </w:r>
      <w:r w:rsidR="006B372A">
        <w:rPr>
          <w:rFonts w:ascii="Times New Roman" w:hAnsi="Times New Roman" w:cs="Times New Roman"/>
          <w:sz w:val="24"/>
          <w:szCs w:val="24"/>
        </w:rPr>
        <w:t>service provider</w:t>
      </w:r>
      <w:r w:rsidR="003425DC">
        <w:rPr>
          <w:rFonts w:ascii="Times New Roman" w:hAnsi="Times New Roman" w:cs="Times New Roman"/>
          <w:sz w:val="24"/>
          <w:szCs w:val="24"/>
        </w:rPr>
        <w:t xml:space="preserve"> and </w:t>
      </w:r>
      <w:r w:rsidR="006B372A">
        <w:rPr>
          <w:rFonts w:ascii="Times New Roman" w:hAnsi="Times New Roman" w:cs="Times New Roman"/>
          <w:sz w:val="24"/>
          <w:szCs w:val="24"/>
        </w:rPr>
        <w:t xml:space="preserve">this </w:t>
      </w:r>
      <w:r w:rsidR="00736FF6">
        <w:rPr>
          <w:rFonts w:ascii="Times New Roman" w:hAnsi="Times New Roman" w:cs="Times New Roman"/>
          <w:sz w:val="24"/>
          <w:szCs w:val="24"/>
        </w:rPr>
        <w:t xml:space="preserve">still </w:t>
      </w:r>
      <w:r w:rsidR="006B372A">
        <w:rPr>
          <w:rFonts w:ascii="Times New Roman" w:hAnsi="Times New Roman" w:cs="Times New Roman"/>
          <w:sz w:val="24"/>
          <w:szCs w:val="24"/>
        </w:rPr>
        <w:t>would not constitute any “sale” or “sharing” of personal information</w:t>
      </w:r>
      <w:r w:rsidR="001F2C61">
        <w:rPr>
          <w:rFonts w:ascii="Times New Roman" w:hAnsi="Times New Roman" w:cs="Times New Roman"/>
          <w:sz w:val="24"/>
          <w:szCs w:val="24"/>
        </w:rPr>
        <w:t xml:space="preserve"> so long as the contract limits any use of PI </w:t>
      </w:r>
      <w:r w:rsidR="00F91B71">
        <w:rPr>
          <w:rFonts w:ascii="Times New Roman" w:hAnsi="Times New Roman" w:cs="Times New Roman"/>
          <w:sz w:val="24"/>
          <w:szCs w:val="24"/>
        </w:rPr>
        <w:t xml:space="preserve">by the service provider </w:t>
      </w:r>
      <w:r w:rsidR="001F2C61">
        <w:rPr>
          <w:rFonts w:ascii="Times New Roman" w:hAnsi="Times New Roman" w:cs="Times New Roman"/>
          <w:sz w:val="24"/>
          <w:szCs w:val="24"/>
        </w:rPr>
        <w:t xml:space="preserve">beyond the purposes disclosed by the </w:t>
      </w:r>
      <w:r w:rsidR="00F91B71">
        <w:rPr>
          <w:rFonts w:ascii="Times New Roman" w:hAnsi="Times New Roman" w:cs="Times New Roman"/>
          <w:sz w:val="24"/>
          <w:szCs w:val="24"/>
        </w:rPr>
        <w:t>controller</w:t>
      </w:r>
      <w:r w:rsidR="006B372A">
        <w:rPr>
          <w:rFonts w:ascii="Times New Roman" w:hAnsi="Times New Roman" w:cs="Times New Roman"/>
          <w:sz w:val="24"/>
          <w:szCs w:val="24"/>
        </w:rPr>
        <w:t xml:space="preserve">.  </w:t>
      </w:r>
    </w:p>
    <w:p w14:paraId="1AAC1884" w14:textId="77777777" w:rsidR="0002732D" w:rsidRDefault="0002732D" w:rsidP="000A31B0">
      <w:pPr>
        <w:pStyle w:val="ListParagraph"/>
        <w:ind w:left="0" w:firstLine="450"/>
        <w:rPr>
          <w:rFonts w:ascii="Times New Roman" w:hAnsi="Times New Roman" w:cs="Times New Roman"/>
          <w:sz w:val="24"/>
          <w:szCs w:val="24"/>
        </w:rPr>
      </w:pPr>
    </w:p>
    <w:p w14:paraId="63AC1F10" w14:textId="02071CD0" w:rsidR="008C52DF" w:rsidRPr="00425351" w:rsidRDefault="006B372A" w:rsidP="00425351">
      <w:pPr>
        <w:pStyle w:val="ListParagraph"/>
        <w:ind w:left="0" w:firstLine="450"/>
        <w:rPr>
          <w:rFonts w:ascii="Times New Roman" w:hAnsi="Times New Roman" w:cs="Times New Roman"/>
          <w:sz w:val="24"/>
          <w:szCs w:val="24"/>
        </w:rPr>
      </w:pPr>
      <w:r>
        <w:rPr>
          <w:rFonts w:ascii="Times New Roman" w:hAnsi="Times New Roman" w:cs="Times New Roman"/>
          <w:sz w:val="24"/>
          <w:szCs w:val="24"/>
        </w:rPr>
        <w:t xml:space="preserve">Moreover, some </w:t>
      </w:r>
      <w:r w:rsidR="004A6577">
        <w:rPr>
          <w:rFonts w:ascii="Times New Roman" w:hAnsi="Times New Roman" w:cs="Times New Roman"/>
          <w:sz w:val="24"/>
          <w:szCs w:val="24"/>
        </w:rPr>
        <w:t>testing organizations</w:t>
      </w:r>
      <w:r>
        <w:rPr>
          <w:rFonts w:ascii="Times New Roman" w:hAnsi="Times New Roman" w:cs="Times New Roman"/>
          <w:sz w:val="24"/>
          <w:szCs w:val="24"/>
        </w:rPr>
        <w:t xml:space="preserve"> may include on their </w:t>
      </w:r>
      <w:r w:rsidR="002F0098">
        <w:rPr>
          <w:rFonts w:ascii="Times New Roman" w:hAnsi="Times New Roman" w:cs="Times New Roman"/>
          <w:sz w:val="24"/>
          <w:szCs w:val="24"/>
        </w:rPr>
        <w:t>website</w:t>
      </w:r>
      <w:r w:rsidR="00AD1E8E">
        <w:rPr>
          <w:rFonts w:ascii="Times New Roman" w:hAnsi="Times New Roman" w:cs="Times New Roman"/>
          <w:sz w:val="24"/>
          <w:szCs w:val="24"/>
        </w:rPr>
        <w:t>s’</w:t>
      </w:r>
      <w:r>
        <w:rPr>
          <w:rFonts w:ascii="Times New Roman" w:hAnsi="Times New Roman" w:cs="Times New Roman"/>
          <w:sz w:val="24"/>
          <w:szCs w:val="24"/>
        </w:rPr>
        <w:t xml:space="preserve"> social media </w:t>
      </w:r>
      <w:r w:rsidR="00C94E31">
        <w:rPr>
          <w:rFonts w:ascii="Times New Roman" w:hAnsi="Times New Roman" w:cs="Times New Roman"/>
          <w:sz w:val="24"/>
          <w:szCs w:val="24"/>
        </w:rPr>
        <w:t>widgets</w:t>
      </w:r>
      <w:r>
        <w:rPr>
          <w:rFonts w:ascii="Times New Roman" w:hAnsi="Times New Roman" w:cs="Times New Roman"/>
          <w:sz w:val="24"/>
          <w:szCs w:val="24"/>
        </w:rPr>
        <w:t xml:space="preserve"> where a user can click on these to share information about the </w:t>
      </w:r>
      <w:r w:rsidR="004A6577">
        <w:rPr>
          <w:rFonts w:ascii="Times New Roman" w:hAnsi="Times New Roman" w:cs="Times New Roman"/>
          <w:sz w:val="24"/>
          <w:szCs w:val="24"/>
        </w:rPr>
        <w:t xml:space="preserve">business’s </w:t>
      </w:r>
      <w:r>
        <w:rPr>
          <w:rFonts w:ascii="Times New Roman" w:hAnsi="Times New Roman" w:cs="Times New Roman"/>
          <w:sz w:val="24"/>
          <w:szCs w:val="24"/>
        </w:rPr>
        <w:t>products and services or to co</w:t>
      </w:r>
      <w:r w:rsidR="009A4818">
        <w:rPr>
          <w:rFonts w:ascii="Times New Roman" w:hAnsi="Times New Roman" w:cs="Times New Roman"/>
          <w:sz w:val="24"/>
          <w:szCs w:val="24"/>
        </w:rPr>
        <w:t>mmunicate</w:t>
      </w:r>
      <w:r>
        <w:rPr>
          <w:rFonts w:ascii="Times New Roman" w:hAnsi="Times New Roman" w:cs="Times New Roman"/>
          <w:sz w:val="24"/>
          <w:szCs w:val="24"/>
        </w:rPr>
        <w:t xml:space="preserve"> with other interested </w:t>
      </w:r>
      <w:r w:rsidR="009A4818">
        <w:rPr>
          <w:rFonts w:ascii="Times New Roman" w:hAnsi="Times New Roman" w:cs="Times New Roman"/>
          <w:sz w:val="24"/>
          <w:szCs w:val="24"/>
        </w:rPr>
        <w:t>individuals/</w:t>
      </w:r>
      <w:r>
        <w:rPr>
          <w:rFonts w:ascii="Times New Roman" w:hAnsi="Times New Roman" w:cs="Times New Roman"/>
          <w:sz w:val="24"/>
          <w:szCs w:val="24"/>
        </w:rPr>
        <w:t xml:space="preserve">groups. In these </w:t>
      </w:r>
      <w:r w:rsidR="009A4818">
        <w:rPr>
          <w:rFonts w:ascii="Times New Roman" w:hAnsi="Times New Roman" w:cs="Times New Roman"/>
          <w:sz w:val="24"/>
          <w:szCs w:val="24"/>
        </w:rPr>
        <w:t>circumstances</w:t>
      </w:r>
      <w:r>
        <w:rPr>
          <w:rFonts w:ascii="Times New Roman" w:hAnsi="Times New Roman" w:cs="Times New Roman"/>
          <w:sz w:val="24"/>
          <w:szCs w:val="24"/>
        </w:rPr>
        <w:t>, the consumer</w:t>
      </w:r>
      <w:r w:rsidR="009A4818">
        <w:rPr>
          <w:rFonts w:ascii="Times New Roman" w:hAnsi="Times New Roman" w:cs="Times New Roman"/>
          <w:sz w:val="24"/>
          <w:szCs w:val="24"/>
        </w:rPr>
        <w:t>/test taker</w:t>
      </w:r>
      <w:r>
        <w:rPr>
          <w:rFonts w:ascii="Times New Roman" w:hAnsi="Times New Roman" w:cs="Times New Roman"/>
          <w:sz w:val="24"/>
          <w:szCs w:val="24"/>
        </w:rPr>
        <w:t xml:space="preserve"> </w:t>
      </w:r>
      <w:r w:rsidR="0002732D">
        <w:rPr>
          <w:rFonts w:ascii="Times New Roman" w:hAnsi="Times New Roman" w:cs="Times New Roman"/>
          <w:sz w:val="24"/>
          <w:szCs w:val="24"/>
        </w:rPr>
        <w:t xml:space="preserve">chooses to </w:t>
      </w:r>
      <w:r>
        <w:rPr>
          <w:rFonts w:ascii="Times New Roman" w:hAnsi="Times New Roman" w:cs="Times New Roman"/>
          <w:sz w:val="24"/>
          <w:szCs w:val="24"/>
        </w:rPr>
        <w:t xml:space="preserve">interact with those </w:t>
      </w:r>
      <w:r w:rsidR="000739D7">
        <w:rPr>
          <w:rFonts w:ascii="Times New Roman" w:hAnsi="Times New Roman" w:cs="Times New Roman"/>
          <w:sz w:val="24"/>
          <w:szCs w:val="24"/>
        </w:rPr>
        <w:t>third-party sites</w:t>
      </w:r>
      <w:r>
        <w:rPr>
          <w:rFonts w:ascii="Times New Roman" w:hAnsi="Times New Roman" w:cs="Times New Roman"/>
          <w:sz w:val="24"/>
          <w:szCs w:val="24"/>
        </w:rPr>
        <w:t xml:space="preserve"> and</w:t>
      </w:r>
      <w:r w:rsidR="00302AD9">
        <w:rPr>
          <w:rFonts w:ascii="Times New Roman" w:hAnsi="Times New Roman" w:cs="Times New Roman"/>
          <w:sz w:val="24"/>
          <w:szCs w:val="24"/>
        </w:rPr>
        <w:t>,</w:t>
      </w:r>
      <w:r>
        <w:rPr>
          <w:rFonts w:ascii="Times New Roman" w:hAnsi="Times New Roman" w:cs="Times New Roman"/>
          <w:sz w:val="24"/>
          <w:szCs w:val="24"/>
        </w:rPr>
        <w:t xml:space="preserve"> generally</w:t>
      </w:r>
      <w:r w:rsidR="00302AD9">
        <w:rPr>
          <w:rFonts w:ascii="Times New Roman" w:hAnsi="Times New Roman" w:cs="Times New Roman"/>
          <w:sz w:val="24"/>
          <w:szCs w:val="24"/>
        </w:rPr>
        <w:t xml:space="preserve"> speaking</w:t>
      </w:r>
      <w:r w:rsidR="00163BE9">
        <w:rPr>
          <w:rFonts w:ascii="Times New Roman" w:hAnsi="Times New Roman" w:cs="Times New Roman"/>
          <w:sz w:val="24"/>
          <w:szCs w:val="24"/>
        </w:rPr>
        <w:t>, the business</w:t>
      </w:r>
      <w:r>
        <w:rPr>
          <w:rFonts w:ascii="Times New Roman" w:hAnsi="Times New Roman" w:cs="Times New Roman"/>
          <w:sz w:val="24"/>
          <w:szCs w:val="24"/>
        </w:rPr>
        <w:t xml:space="preserve"> notif</w:t>
      </w:r>
      <w:r w:rsidR="00163BE9">
        <w:rPr>
          <w:rFonts w:ascii="Times New Roman" w:hAnsi="Times New Roman" w:cs="Times New Roman"/>
          <w:sz w:val="24"/>
          <w:szCs w:val="24"/>
        </w:rPr>
        <w:t xml:space="preserve">ies </w:t>
      </w:r>
      <w:r>
        <w:rPr>
          <w:rFonts w:ascii="Times New Roman" w:hAnsi="Times New Roman" w:cs="Times New Roman"/>
          <w:sz w:val="24"/>
          <w:szCs w:val="24"/>
        </w:rPr>
        <w:t xml:space="preserve">consumers in </w:t>
      </w:r>
      <w:r w:rsidR="00163BE9">
        <w:rPr>
          <w:rFonts w:ascii="Times New Roman" w:hAnsi="Times New Roman" w:cs="Times New Roman"/>
          <w:sz w:val="24"/>
          <w:szCs w:val="24"/>
        </w:rPr>
        <w:t>its</w:t>
      </w:r>
      <w:r>
        <w:rPr>
          <w:rFonts w:ascii="Times New Roman" w:hAnsi="Times New Roman" w:cs="Times New Roman"/>
          <w:sz w:val="24"/>
          <w:szCs w:val="24"/>
        </w:rPr>
        <w:t xml:space="preserve"> privacy polic</w:t>
      </w:r>
      <w:r w:rsidR="00163BE9">
        <w:rPr>
          <w:rFonts w:ascii="Times New Roman" w:hAnsi="Times New Roman" w:cs="Times New Roman"/>
          <w:sz w:val="24"/>
          <w:szCs w:val="24"/>
        </w:rPr>
        <w:t>y</w:t>
      </w:r>
      <w:r>
        <w:rPr>
          <w:rFonts w:ascii="Times New Roman" w:hAnsi="Times New Roman" w:cs="Times New Roman"/>
          <w:sz w:val="24"/>
          <w:szCs w:val="24"/>
        </w:rPr>
        <w:t xml:space="preserve"> that any third-party links are subject to that third</w:t>
      </w:r>
      <w:r w:rsidR="007E73A4">
        <w:rPr>
          <w:rFonts w:ascii="Times New Roman" w:hAnsi="Times New Roman" w:cs="Times New Roman"/>
          <w:sz w:val="24"/>
          <w:szCs w:val="24"/>
        </w:rPr>
        <w:t xml:space="preserve"> </w:t>
      </w:r>
      <w:r>
        <w:rPr>
          <w:rFonts w:ascii="Times New Roman" w:hAnsi="Times New Roman" w:cs="Times New Roman"/>
          <w:sz w:val="24"/>
          <w:szCs w:val="24"/>
        </w:rPr>
        <w:t>party</w:t>
      </w:r>
      <w:r w:rsidR="007E73A4">
        <w:rPr>
          <w:rFonts w:ascii="Times New Roman" w:hAnsi="Times New Roman" w:cs="Times New Roman"/>
          <w:sz w:val="24"/>
          <w:szCs w:val="24"/>
        </w:rPr>
        <w:t>’s</w:t>
      </w:r>
      <w:r>
        <w:rPr>
          <w:rFonts w:ascii="Times New Roman" w:hAnsi="Times New Roman" w:cs="Times New Roman"/>
          <w:sz w:val="24"/>
          <w:szCs w:val="24"/>
        </w:rPr>
        <w:t xml:space="preserve"> privacy polic</w:t>
      </w:r>
      <w:r w:rsidR="007E73A4">
        <w:rPr>
          <w:rFonts w:ascii="Times New Roman" w:hAnsi="Times New Roman" w:cs="Times New Roman"/>
          <w:sz w:val="24"/>
          <w:szCs w:val="24"/>
        </w:rPr>
        <w:t>y</w:t>
      </w:r>
      <w:r>
        <w:rPr>
          <w:rFonts w:ascii="Times New Roman" w:hAnsi="Times New Roman" w:cs="Times New Roman"/>
          <w:sz w:val="24"/>
          <w:szCs w:val="24"/>
        </w:rPr>
        <w:t xml:space="preserve"> and notices.  </w:t>
      </w:r>
      <w:r w:rsidR="00205687">
        <w:rPr>
          <w:rFonts w:ascii="Times New Roman" w:hAnsi="Times New Roman" w:cs="Times New Roman"/>
          <w:sz w:val="24"/>
          <w:szCs w:val="24"/>
        </w:rPr>
        <w:t>We recommend that the Agency provide additional use case examples in the Proposed Regulations that confirm that these situations are exempt from the opt</w:t>
      </w:r>
      <w:r w:rsidR="00302AD9">
        <w:rPr>
          <w:rFonts w:ascii="Times New Roman" w:hAnsi="Times New Roman" w:cs="Times New Roman"/>
          <w:sz w:val="24"/>
          <w:szCs w:val="24"/>
        </w:rPr>
        <w:t>-</w:t>
      </w:r>
      <w:r w:rsidR="00205687">
        <w:rPr>
          <w:rFonts w:ascii="Times New Roman" w:hAnsi="Times New Roman" w:cs="Times New Roman"/>
          <w:sz w:val="24"/>
          <w:szCs w:val="24"/>
        </w:rPr>
        <w:t>out and notice requirements</w:t>
      </w:r>
      <w:r w:rsidR="00425351">
        <w:rPr>
          <w:rFonts w:ascii="Times New Roman" w:hAnsi="Times New Roman" w:cs="Times New Roman"/>
          <w:sz w:val="24"/>
          <w:szCs w:val="24"/>
        </w:rPr>
        <w:t>.</w:t>
      </w:r>
      <w:r w:rsidR="00205687" w:rsidRPr="00425351">
        <w:rPr>
          <w:rFonts w:ascii="Times New Roman" w:hAnsi="Times New Roman" w:cs="Times New Roman"/>
          <w:sz w:val="24"/>
          <w:szCs w:val="24"/>
        </w:rPr>
        <w:t xml:space="preserve"> </w:t>
      </w:r>
    </w:p>
    <w:p w14:paraId="3E7029D1" w14:textId="77777777" w:rsidR="006831D8" w:rsidRPr="00F01A5A" w:rsidRDefault="006831D8" w:rsidP="00F01A5A">
      <w:pPr>
        <w:pStyle w:val="ListParagraph"/>
        <w:ind w:left="0" w:firstLine="450"/>
        <w:rPr>
          <w:rFonts w:ascii="Times New Roman" w:hAnsi="Times New Roman" w:cs="Times New Roman"/>
          <w:sz w:val="24"/>
          <w:szCs w:val="24"/>
        </w:rPr>
      </w:pPr>
    </w:p>
    <w:p w14:paraId="557C2853" w14:textId="422ED7B8" w:rsidR="009A08D5" w:rsidRDefault="00316E81" w:rsidP="006D0F69">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Section</w:t>
      </w:r>
      <w:r w:rsidR="00066B06" w:rsidRPr="00066B06">
        <w:rPr>
          <w:rFonts w:ascii="Times New Roman" w:hAnsi="Times New Roman" w:cs="Times New Roman"/>
          <w:b/>
          <w:bCs/>
          <w:sz w:val="24"/>
          <w:szCs w:val="24"/>
        </w:rPr>
        <w:t xml:space="preserve"> 7027. Requests to Limit Use and Disclosure of Sensitive Personal Information</w:t>
      </w:r>
      <w:r w:rsidR="00066B06" w:rsidRPr="00066B06">
        <w:rPr>
          <w:rFonts w:ascii="Times New Roman" w:hAnsi="Times New Roman" w:cs="Times New Roman"/>
          <w:sz w:val="24"/>
          <w:szCs w:val="24"/>
        </w:rPr>
        <w:t>.</w:t>
      </w:r>
    </w:p>
    <w:p w14:paraId="7C5E7A8E" w14:textId="4E132120" w:rsidR="00425351" w:rsidRDefault="001C43BD" w:rsidP="000F3951">
      <w:pPr>
        <w:ind w:firstLine="450"/>
        <w:rPr>
          <w:rFonts w:ascii="Times New Roman" w:hAnsi="Times New Roman" w:cs="Times New Roman"/>
          <w:sz w:val="24"/>
          <w:szCs w:val="24"/>
        </w:rPr>
      </w:pPr>
      <w:r>
        <w:rPr>
          <w:rFonts w:ascii="Times New Roman" w:hAnsi="Times New Roman" w:cs="Times New Roman"/>
          <w:sz w:val="24"/>
          <w:szCs w:val="24"/>
        </w:rPr>
        <w:t>The ATP supports</w:t>
      </w:r>
      <w:r w:rsidR="00FC30C9">
        <w:rPr>
          <w:rFonts w:ascii="Times New Roman" w:hAnsi="Times New Roman" w:cs="Times New Roman"/>
          <w:sz w:val="24"/>
          <w:szCs w:val="24"/>
        </w:rPr>
        <w:t xml:space="preserve"> </w:t>
      </w:r>
      <w:bookmarkStart w:id="7" w:name="_Hlk111981879"/>
      <w:r w:rsidR="00FC30C9">
        <w:rPr>
          <w:rFonts w:ascii="Times New Roman" w:hAnsi="Times New Roman" w:cs="Times New Roman"/>
          <w:sz w:val="24"/>
          <w:szCs w:val="24"/>
        </w:rPr>
        <w:t>Section 7027 of the Proposed Regulation</w:t>
      </w:r>
      <w:r>
        <w:rPr>
          <w:rFonts w:ascii="Times New Roman" w:hAnsi="Times New Roman" w:cs="Times New Roman"/>
          <w:sz w:val="24"/>
          <w:szCs w:val="24"/>
        </w:rPr>
        <w:t xml:space="preserve"> that businesses are not required to provide these notices</w:t>
      </w:r>
      <w:r w:rsidR="00FC30C9">
        <w:rPr>
          <w:rFonts w:ascii="Times New Roman" w:hAnsi="Times New Roman" w:cs="Times New Roman"/>
          <w:sz w:val="24"/>
          <w:szCs w:val="24"/>
        </w:rPr>
        <w:t xml:space="preserve">, nor </w:t>
      </w:r>
      <w:r>
        <w:rPr>
          <w:rFonts w:ascii="Times New Roman" w:hAnsi="Times New Roman" w:cs="Times New Roman"/>
          <w:sz w:val="24"/>
          <w:szCs w:val="24"/>
        </w:rPr>
        <w:t>honor requests to limit use and disclosure of sensitive personal information</w:t>
      </w:r>
      <w:r w:rsidR="00C82780">
        <w:rPr>
          <w:rFonts w:ascii="Times New Roman" w:hAnsi="Times New Roman" w:cs="Times New Roman"/>
          <w:sz w:val="24"/>
          <w:szCs w:val="24"/>
        </w:rPr>
        <w:t xml:space="preserve"> when used in accordance with the allowed purposes indicated in </w:t>
      </w:r>
      <w:r w:rsidR="00302AD9">
        <w:rPr>
          <w:rFonts w:ascii="Times New Roman" w:hAnsi="Times New Roman" w:cs="Times New Roman"/>
          <w:sz w:val="24"/>
          <w:szCs w:val="24"/>
        </w:rPr>
        <w:t>Subsection</w:t>
      </w:r>
      <w:r w:rsidR="00C25A17">
        <w:rPr>
          <w:rFonts w:ascii="Times New Roman" w:hAnsi="Times New Roman" w:cs="Times New Roman"/>
          <w:sz w:val="24"/>
          <w:szCs w:val="24"/>
        </w:rPr>
        <w:t xml:space="preserve"> </w:t>
      </w:r>
      <w:r w:rsidR="00A21149">
        <w:rPr>
          <w:rFonts w:ascii="Times New Roman" w:hAnsi="Times New Roman" w:cs="Times New Roman"/>
          <w:sz w:val="24"/>
          <w:szCs w:val="24"/>
        </w:rPr>
        <w:t>(1)</w:t>
      </w:r>
      <w:r>
        <w:rPr>
          <w:rFonts w:ascii="Times New Roman" w:hAnsi="Times New Roman" w:cs="Times New Roman"/>
          <w:sz w:val="24"/>
          <w:szCs w:val="24"/>
        </w:rPr>
        <w:t xml:space="preserve">. </w:t>
      </w:r>
      <w:r w:rsidR="00FC30C9">
        <w:rPr>
          <w:rFonts w:ascii="Times New Roman" w:hAnsi="Times New Roman" w:cs="Times New Roman"/>
          <w:sz w:val="24"/>
          <w:szCs w:val="24"/>
        </w:rPr>
        <w:t xml:space="preserve"> </w:t>
      </w:r>
      <w:bookmarkEnd w:id="7"/>
      <w:r>
        <w:rPr>
          <w:rFonts w:ascii="Times New Roman" w:hAnsi="Times New Roman" w:cs="Times New Roman"/>
          <w:sz w:val="24"/>
          <w:szCs w:val="24"/>
        </w:rPr>
        <w:t xml:space="preserve">ATP Members, as noted earlier, use sensitive personal information for test administration and other purposes that generally are reasonably expected by their customers and test takers and for the other purposes specified in </w:t>
      </w:r>
      <w:r w:rsidR="00302AD9">
        <w:rPr>
          <w:rFonts w:ascii="Times New Roman" w:hAnsi="Times New Roman" w:cs="Times New Roman"/>
          <w:sz w:val="24"/>
          <w:szCs w:val="24"/>
        </w:rPr>
        <w:t>S</w:t>
      </w:r>
      <w:r>
        <w:rPr>
          <w:rFonts w:ascii="Times New Roman" w:hAnsi="Times New Roman" w:cs="Times New Roman"/>
          <w:sz w:val="24"/>
          <w:szCs w:val="24"/>
        </w:rPr>
        <w:t xml:space="preserve">ubsection (l). </w:t>
      </w:r>
      <w:r w:rsidR="00D83772">
        <w:rPr>
          <w:rFonts w:ascii="Times New Roman" w:hAnsi="Times New Roman" w:cs="Times New Roman"/>
          <w:sz w:val="24"/>
          <w:szCs w:val="24"/>
        </w:rPr>
        <w:t xml:space="preserve"> The ATP</w:t>
      </w:r>
      <w:r>
        <w:rPr>
          <w:rFonts w:ascii="Times New Roman" w:hAnsi="Times New Roman" w:cs="Times New Roman"/>
          <w:sz w:val="24"/>
          <w:szCs w:val="24"/>
        </w:rPr>
        <w:t xml:space="preserve"> also believe</w:t>
      </w:r>
      <w:r w:rsidR="00D83772">
        <w:rPr>
          <w:rFonts w:ascii="Times New Roman" w:hAnsi="Times New Roman" w:cs="Times New Roman"/>
          <w:sz w:val="24"/>
          <w:szCs w:val="24"/>
        </w:rPr>
        <w:t>s</w:t>
      </w:r>
      <w:r>
        <w:rPr>
          <w:rFonts w:ascii="Times New Roman" w:hAnsi="Times New Roman" w:cs="Times New Roman"/>
          <w:sz w:val="24"/>
          <w:szCs w:val="24"/>
        </w:rPr>
        <w:t xml:space="preserve"> that there are other legitimate purposes for use of sensitive personal information that may not be listed in this </w:t>
      </w:r>
      <w:r w:rsidR="00302AD9">
        <w:rPr>
          <w:rFonts w:ascii="Times New Roman" w:hAnsi="Times New Roman" w:cs="Times New Roman"/>
          <w:sz w:val="24"/>
          <w:szCs w:val="24"/>
        </w:rPr>
        <w:t>S</w:t>
      </w:r>
      <w:r>
        <w:rPr>
          <w:rFonts w:ascii="Times New Roman" w:hAnsi="Times New Roman" w:cs="Times New Roman"/>
          <w:sz w:val="24"/>
          <w:szCs w:val="24"/>
        </w:rPr>
        <w:t>ubsection</w:t>
      </w:r>
      <w:r w:rsidR="00D83772">
        <w:rPr>
          <w:rFonts w:ascii="Times New Roman" w:hAnsi="Times New Roman" w:cs="Times New Roman"/>
          <w:sz w:val="24"/>
          <w:szCs w:val="24"/>
        </w:rPr>
        <w:t xml:space="preserve">, </w:t>
      </w:r>
      <w:r>
        <w:rPr>
          <w:rFonts w:ascii="Times New Roman" w:hAnsi="Times New Roman" w:cs="Times New Roman"/>
          <w:sz w:val="24"/>
          <w:szCs w:val="24"/>
        </w:rPr>
        <w:t>including to prevent fraud, to ensure fairness in testing, to respond t</w:t>
      </w:r>
      <w:r w:rsidRPr="00D83772">
        <w:rPr>
          <w:rFonts w:ascii="Times New Roman" w:hAnsi="Times New Roman" w:cs="Times New Roman"/>
          <w:sz w:val="24"/>
          <w:szCs w:val="24"/>
        </w:rPr>
        <w:t xml:space="preserve">o government or law enforcement orders, etc. </w:t>
      </w:r>
      <w:r w:rsidR="00D83772">
        <w:rPr>
          <w:rFonts w:ascii="Times New Roman" w:hAnsi="Times New Roman" w:cs="Times New Roman"/>
          <w:sz w:val="24"/>
          <w:szCs w:val="24"/>
        </w:rPr>
        <w:t xml:space="preserve">(e.g., to comply with the EEOC </w:t>
      </w:r>
      <w:r w:rsidR="003D1F52">
        <w:rPr>
          <w:rFonts w:ascii="Times New Roman" w:hAnsi="Times New Roman" w:cs="Times New Roman"/>
          <w:i/>
          <w:iCs/>
          <w:sz w:val="24"/>
          <w:szCs w:val="24"/>
        </w:rPr>
        <w:t>Uniform Guidelines</w:t>
      </w:r>
      <w:r w:rsidR="001A7221">
        <w:rPr>
          <w:rFonts w:ascii="Times New Roman" w:hAnsi="Times New Roman" w:cs="Times New Roman"/>
          <w:i/>
          <w:iCs/>
          <w:sz w:val="24"/>
          <w:szCs w:val="24"/>
        </w:rPr>
        <w:t xml:space="preserve"> [see fn. 14, supra.]</w:t>
      </w:r>
      <w:r w:rsidR="003D1F52">
        <w:rPr>
          <w:rFonts w:ascii="Times New Roman" w:hAnsi="Times New Roman" w:cs="Times New Roman"/>
          <w:i/>
          <w:iCs/>
          <w:sz w:val="24"/>
          <w:szCs w:val="24"/>
        </w:rPr>
        <w:t xml:space="preserve">, </w:t>
      </w:r>
      <w:r w:rsidR="003D1F52">
        <w:rPr>
          <w:rFonts w:ascii="Times New Roman" w:hAnsi="Times New Roman" w:cs="Times New Roman"/>
          <w:sz w:val="24"/>
          <w:szCs w:val="24"/>
        </w:rPr>
        <w:t xml:space="preserve">in response to growing data requirements under various </w:t>
      </w:r>
      <w:r w:rsidR="00D83772">
        <w:rPr>
          <w:rFonts w:ascii="Times New Roman" w:hAnsi="Times New Roman" w:cs="Times New Roman"/>
          <w:sz w:val="24"/>
          <w:szCs w:val="24"/>
        </w:rPr>
        <w:t xml:space="preserve"> </w:t>
      </w:r>
      <w:r w:rsidR="003D1F52">
        <w:rPr>
          <w:rFonts w:ascii="Times New Roman" w:hAnsi="Times New Roman" w:cs="Times New Roman"/>
          <w:sz w:val="24"/>
          <w:szCs w:val="24"/>
        </w:rPr>
        <w:t xml:space="preserve">Diversity, Equity, and Inclusion initiatives). </w:t>
      </w:r>
      <w:r w:rsidR="00D83772">
        <w:rPr>
          <w:rFonts w:ascii="Times New Roman" w:hAnsi="Times New Roman" w:cs="Times New Roman"/>
          <w:sz w:val="24"/>
          <w:szCs w:val="24"/>
        </w:rPr>
        <w:t xml:space="preserve"> </w:t>
      </w:r>
      <w:r w:rsidR="003D1F52">
        <w:rPr>
          <w:rFonts w:ascii="Times New Roman" w:hAnsi="Times New Roman" w:cs="Times New Roman"/>
          <w:sz w:val="24"/>
          <w:szCs w:val="24"/>
        </w:rPr>
        <w:t>Accordingly, the ATP r</w:t>
      </w:r>
      <w:r w:rsidR="007F4F56">
        <w:rPr>
          <w:rFonts w:ascii="Times New Roman" w:hAnsi="Times New Roman" w:cs="Times New Roman"/>
          <w:sz w:val="24"/>
          <w:szCs w:val="24"/>
        </w:rPr>
        <w:t>equest</w:t>
      </w:r>
      <w:r w:rsidR="003D1F52">
        <w:rPr>
          <w:rFonts w:ascii="Times New Roman" w:hAnsi="Times New Roman" w:cs="Times New Roman"/>
          <w:sz w:val="24"/>
          <w:szCs w:val="24"/>
        </w:rPr>
        <w:t>s</w:t>
      </w:r>
      <w:r w:rsidR="007F4F56">
        <w:rPr>
          <w:rFonts w:ascii="Times New Roman" w:hAnsi="Times New Roman" w:cs="Times New Roman"/>
          <w:sz w:val="24"/>
          <w:szCs w:val="24"/>
        </w:rPr>
        <w:t xml:space="preserve"> that the Agency </w:t>
      </w:r>
      <w:r w:rsidR="003D1F52">
        <w:rPr>
          <w:rFonts w:ascii="Times New Roman" w:hAnsi="Times New Roman" w:cs="Times New Roman"/>
          <w:sz w:val="24"/>
          <w:szCs w:val="24"/>
        </w:rPr>
        <w:t>should add</w:t>
      </w:r>
      <w:r w:rsidR="007F4F56">
        <w:rPr>
          <w:rFonts w:ascii="Times New Roman" w:hAnsi="Times New Roman" w:cs="Times New Roman"/>
          <w:sz w:val="24"/>
          <w:szCs w:val="24"/>
        </w:rPr>
        <w:t xml:space="preserve"> to this subsection (l) another category for purposes where the </w:t>
      </w:r>
      <w:r w:rsidR="003D1F52">
        <w:rPr>
          <w:rFonts w:ascii="Times New Roman" w:hAnsi="Times New Roman" w:cs="Times New Roman"/>
          <w:sz w:val="24"/>
          <w:szCs w:val="24"/>
        </w:rPr>
        <w:t xml:space="preserve">covered </w:t>
      </w:r>
      <w:r w:rsidR="007F4F56">
        <w:rPr>
          <w:rFonts w:ascii="Times New Roman" w:hAnsi="Times New Roman" w:cs="Times New Roman"/>
          <w:sz w:val="24"/>
          <w:szCs w:val="24"/>
        </w:rPr>
        <w:t>business can use i</w:t>
      </w:r>
      <w:r w:rsidR="00A21149">
        <w:rPr>
          <w:rFonts w:ascii="Times New Roman" w:hAnsi="Times New Roman" w:cs="Times New Roman"/>
          <w:sz w:val="24"/>
          <w:szCs w:val="24"/>
        </w:rPr>
        <w:t>t</w:t>
      </w:r>
      <w:r w:rsidR="007F4F56">
        <w:rPr>
          <w:rFonts w:ascii="Times New Roman" w:hAnsi="Times New Roman" w:cs="Times New Roman"/>
          <w:sz w:val="24"/>
          <w:szCs w:val="24"/>
        </w:rPr>
        <w:t>s reasonable discretion to use sensitive data</w:t>
      </w:r>
      <w:r w:rsidR="00A2282E">
        <w:rPr>
          <w:rFonts w:ascii="Times New Roman" w:hAnsi="Times New Roman" w:cs="Times New Roman"/>
          <w:sz w:val="24"/>
          <w:szCs w:val="24"/>
        </w:rPr>
        <w:t xml:space="preserve"> and </w:t>
      </w:r>
      <w:r w:rsidR="00302AD9">
        <w:rPr>
          <w:rFonts w:ascii="Times New Roman" w:hAnsi="Times New Roman" w:cs="Times New Roman"/>
          <w:sz w:val="24"/>
          <w:szCs w:val="24"/>
        </w:rPr>
        <w:t xml:space="preserve">also </w:t>
      </w:r>
      <w:r w:rsidR="00A2282E">
        <w:rPr>
          <w:rFonts w:ascii="Times New Roman" w:hAnsi="Times New Roman" w:cs="Times New Roman"/>
          <w:sz w:val="24"/>
          <w:szCs w:val="24"/>
        </w:rPr>
        <w:t xml:space="preserve">to allow for </w:t>
      </w:r>
      <w:r w:rsidR="00A21149">
        <w:rPr>
          <w:rFonts w:ascii="Times New Roman" w:hAnsi="Times New Roman" w:cs="Times New Roman"/>
          <w:sz w:val="24"/>
          <w:szCs w:val="24"/>
        </w:rPr>
        <w:t>its legitimate purposes</w:t>
      </w:r>
      <w:r w:rsidR="003D1F52">
        <w:rPr>
          <w:rFonts w:ascii="Times New Roman" w:hAnsi="Times New Roman" w:cs="Times New Roman"/>
          <w:sz w:val="24"/>
          <w:szCs w:val="24"/>
        </w:rPr>
        <w:t xml:space="preserve">, including legal bases, </w:t>
      </w:r>
      <w:r w:rsidR="00A21149">
        <w:rPr>
          <w:rFonts w:ascii="Times New Roman" w:hAnsi="Times New Roman" w:cs="Times New Roman"/>
          <w:sz w:val="24"/>
          <w:szCs w:val="24"/>
        </w:rPr>
        <w:t>related to the provision of its products and services</w:t>
      </w:r>
      <w:r w:rsidR="00A2282E">
        <w:rPr>
          <w:rFonts w:ascii="Times New Roman" w:hAnsi="Times New Roman" w:cs="Times New Roman"/>
          <w:sz w:val="24"/>
          <w:szCs w:val="24"/>
        </w:rPr>
        <w:t xml:space="preserve">. </w:t>
      </w:r>
    </w:p>
    <w:p w14:paraId="4EEA9E6B" w14:textId="77777777" w:rsidR="001A7221" w:rsidRPr="00425351" w:rsidRDefault="001A7221" w:rsidP="000F3951">
      <w:pPr>
        <w:ind w:firstLine="450"/>
        <w:rPr>
          <w:rFonts w:ascii="Times New Roman" w:hAnsi="Times New Roman" w:cs="Times New Roman"/>
          <w:sz w:val="24"/>
          <w:szCs w:val="24"/>
        </w:rPr>
      </w:pPr>
    </w:p>
    <w:p w14:paraId="0544FA68" w14:textId="3167965B" w:rsidR="00B2004D" w:rsidRPr="002C0552" w:rsidRDefault="00B2004D" w:rsidP="006D0F69">
      <w:pPr>
        <w:pStyle w:val="ListParagraph"/>
        <w:numPr>
          <w:ilvl w:val="0"/>
          <w:numId w:val="11"/>
        </w:numPr>
        <w:rPr>
          <w:rFonts w:ascii="Times New Roman" w:hAnsi="Times New Roman" w:cs="Times New Roman"/>
          <w:b/>
          <w:bCs/>
          <w:sz w:val="24"/>
          <w:szCs w:val="24"/>
        </w:rPr>
      </w:pPr>
      <w:r w:rsidRPr="002C0552">
        <w:rPr>
          <w:rFonts w:ascii="Times New Roman" w:hAnsi="Times New Roman" w:cs="Times New Roman"/>
          <w:b/>
          <w:bCs/>
          <w:sz w:val="24"/>
          <w:szCs w:val="24"/>
        </w:rPr>
        <w:lastRenderedPageBreak/>
        <w:t>Article 4 Service Providers, Contractors, and Third Parties</w:t>
      </w:r>
    </w:p>
    <w:p w14:paraId="4309B904" w14:textId="19BD01B0" w:rsidR="00E601C9" w:rsidRPr="009A2777" w:rsidRDefault="000F1AD6" w:rsidP="009A2777">
      <w:pPr>
        <w:ind w:firstLine="450"/>
        <w:rPr>
          <w:rFonts w:ascii="Times New Roman" w:hAnsi="Times New Roman" w:cs="Times New Roman"/>
          <w:sz w:val="24"/>
          <w:szCs w:val="24"/>
        </w:rPr>
      </w:pPr>
      <w:r>
        <w:rPr>
          <w:rFonts w:ascii="Times New Roman" w:hAnsi="Times New Roman" w:cs="Times New Roman"/>
          <w:sz w:val="24"/>
          <w:szCs w:val="24"/>
        </w:rPr>
        <w:t xml:space="preserve">Section 7050 indicates that service providers that would otherwise be subject to the CPRA/CCPA but that </w:t>
      </w:r>
      <w:r w:rsidR="006E423F">
        <w:rPr>
          <w:rFonts w:ascii="Times New Roman" w:hAnsi="Times New Roman" w:cs="Times New Roman"/>
          <w:sz w:val="24"/>
          <w:szCs w:val="24"/>
        </w:rPr>
        <w:t xml:space="preserve">are </w:t>
      </w:r>
      <w:r>
        <w:rPr>
          <w:rFonts w:ascii="Times New Roman" w:hAnsi="Times New Roman" w:cs="Times New Roman"/>
          <w:sz w:val="24"/>
          <w:szCs w:val="24"/>
        </w:rPr>
        <w:t xml:space="preserve">providing services to </w:t>
      </w:r>
      <w:r w:rsidR="003F7141">
        <w:rPr>
          <w:rFonts w:ascii="Times New Roman" w:hAnsi="Times New Roman" w:cs="Times New Roman"/>
          <w:sz w:val="24"/>
          <w:szCs w:val="24"/>
        </w:rPr>
        <w:t>nonprofit</w:t>
      </w:r>
      <w:r>
        <w:rPr>
          <w:rFonts w:ascii="Times New Roman" w:hAnsi="Times New Roman" w:cs="Times New Roman"/>
          <w:sz w:val="24"/>
          <w:szCs w:val="24"/>
        </w:rPr>
        <w:t xml:space="preserve"> organizations</w:t>
      </w:r>
      <w:r w:rsidR="00D4152E">
        <w:rPr>
          <w:rFonts w:ascii="Times New Roman" w:hAnsi="Times New Roman" w:cs="Times New Roman"/>
          <w:sz w:val="24"/>
          <w:szCs w:val="24"/>
        </w:rPr>
        <w:t xml:space="preserve"> and government agencies</w:t>
      </w:r>
      <w:r>
        <w:rPr>
          <w:rFonts w:ascii="Times New Roman" w:hAnsi="Times New Roman" w:cs="Times New Roman"/>
          <w:sz w:val="24"/>
          <w:szCs w:val="24"/>
        </w:rPr>
        <w:t xml:space="preserve">, are </w:t>
      </w:r>
      <w:r w:rsidR="00DB6CDC">
        <w:rPr>
          <w:rFonts w:ascii="Times New Roman" w:hAnsi="Times New Roman" w:cs="Times New Roman"/>
          <w:sz w:val="24"/>
          <w:szCs w:val="24"/>
        </w:rPr>
        <w:t xml:space="preserve">exempt under </w:t>
      </w:r>
      <w:r w:rsidR="002C0552">
        <w:rPr>
          <w:rFonts w:ascii="Times New Roman" w:hAnsi="Times New Roman" w:cs="Times New Roman"/>
          <w:sz w:val="24"/>
          <w:szCs w:val="24"/>
        </w:rPr>
        <w:t xml:space="preserve">these Proposed Regulations. </w:t>
      </w:r>
      <w:r w:rsidR="004E1EA1">
        <w:rPr>
          <w:rFonts w:ascii="Times New Roman" w:hAnsi="Times New Roman" w:cs="Times New Roman"/>
          <w:sz w:val="24"/>
          <w:szCs w:val="24"/>
        </w:rPr>
        <w:t>The ATP</w:t>
      </w:r>
      <w:r w:rsidR="00D4152E">
        <w:rPr>
          <w:rFonts w:ascii="Times New Roman" w:hAnsi="Times New Roman" w:cs="Times New Roman"/>
          <w:sz w:val="24"/>
          <w:szCs w:val="24"/>
        </w:rPr>
        <w:t xml:space="preserve"> support</w:t>
      </w:r>
      <w:r w:rsidR="004E1EA1">
        <w:rPr>
          <w:rFonts w:ascii="Times New Roman" w:hAnsi="Times New Roman" w:cs="Times New Roman"/>
          <w:sz w:val="24"/>
          <w:szCs w:val="24"/>
        </w:rPr>
        <w:t>s</w:t>
      </w:r>
      <w:r w:rsidR="00D4152E">
        <w:rPr>
          <w:rFonts w:ascii="Times New Roman" w:hAnsi="Times New Roman" w:cs="Times New Roman"/>
          <w:sz w:val="24"/>
          <w:szCs w:val="24"/>
        </w:rPr>
        <w:t xml:space="preserve"> this clarification to make clear that </w:t>
      </w:r>
      <w:r w:rsidR="007627AF">
        <w:rPr>
          <w:rFonts w:ascii="Times New Roman" w:hAnsi="Times New Roman" w:cs="Times New Roman"/>
          <w:sz w:val="24"/>
          <w:szCs w:val="24"/>
        </w:rPr>
        <w:t xml:space="preserve">providing services </w:t>
      </w:r>
      <w:r w:rsidR="00D4152E">
        <w:rPr>
          <w:rFonts w:ascii="Times New Roman" w:hAnsi="Times New Roman" w:cs="Times New Roman"/>
          <w:sz w:val="24"/>
          <w:szCs w:val="24"/>
        </w:rPr>
        <w:t>to nonprofits or government agencies are</w:t>
      </w:r>
      <w:r w:rsidR="004E1EA1">
        <w:rPr>
          <w:rFonts w:ascii="Times New Roman" w:hAnsi="Times New Roman" w:cs="Times New Roman"/>
          <w:sz w:val="24"/>
          <w:szCs w:val="24"/>
        </w:rPr>
        <w:t xml:space="preserve"> NOT </w:t>
      </w:r>
      <w:r w:rsidR="00D4152E">
        <w:rPr>
          <w:rFonts w:ascii="Times New Roman" w:hAnsi="Times New Roman" w:cs="Times New Roman"/>
          <w:sz w:val="24"/>
          <w:szCs w:val="24"/>
        </w:rPr>
        <w:t>subject to the C</w:t>
      </w:r>
      <w:r w:rsidR="003E57FE">
        <w:rPr>
          <w:rFonts w:ascii="Times New Roman" w:hAnsi="Times New Roman" w:cs="Times New Roman"/>
          <w:sz w:val="24"/>
          <w:szCs w:val="24"/>
        </w:rPr>
        <w:t>PRA/CCPA</w:t>
      </w:r>
      <w:r w:rsidR="00D4152E">
        <w:rPr>
          <w:rFonts w:ascii="Times New Roman" w:hAnsi="Times New Roman" w:cs="Times New Roman"/>
          <w:sz w:val="24"/>
          <w:szCs w:val="24"/>
        </w:rPr>
        <w:t>. As we have noted,</w:t>
      </w:r>
      <w:r w:rsidR="00D8310F">
        <w:rPr>
          <w:rFonts w:ascii="Times New Roman" w:hAnsi="Times New Roman" w:cs="Times New Roman"/>
          <w:sz w:val="24"/>
          <w:szCs w:val="24"/>
        </w:rPr>
        <w:t xml:space="preserve"> testing organizations often provide testing services/processing</w:t>
      </w:r>
      <w:r w:rsidR="00D4152E">
        <w:rPr>
          <w:rFonts w:ascii="Times New Roman" w:hAnsi="Times New Roman" w:cs="Times New Roman"/>
          <w:sz w:val="24"/>
          <w:szCs w:val="24"/>
        </w:rPr>
        <w:t xml:space="preserve"> to nonprofit organizations</w:t>
      </w:r>
      <w:r w:rsidR="004E1EA1">
        <w:rPr>
          <w:rFonts w:ascii="Times New Roman" w:hAnsi="Times New Roman" w:cs="Times New Roman"/>
          <w:sz w:val="24"/>
          <w:szCs w:val="24"/>
        </w:rPr>
        <w:t xml:space="preserve"> (e.g., test sponsors)</w:t>
      </w:r>
      <w:r w:rsidR="00D4152E">
        <w:rPr>
          <w:rFonts w:ascii="Times New Roman" w:hAnsi="Times New Roman" w:cs="Times New Roman"/>
          <w:sz w:val="24"/>
          <w:szCs w:val="24"/>
        </w:rPr>
        <w:t xml:space="preserve"> and government agencies </w:t>
      </w:r>
      <w:r w:rsidR="00024F5C">
        <w:rPr>
          <w:rFonts w:ascii="Times New Roman" w:hAnsi="Times New Roman" w:cs="Times New Roman"/>
          <w:sz w:val="24"/>
          <w:szCs w:val="24"/>
        </w:rPr>
        <w:t>(e.g., state school districts</w:t>
      </w:r>
      <w:r w:rsidR="00F83CC0">
        <w:rPr>
          <w:rFonts w:ascii="Times New Roman" w:hAnsi="Times New Roman" w:cs="Times New Roman"/>
          <w:sz w:val="24"/>
          <w:szCs w:val="24"/>
        </w:rPr>
        <w:t>. state and local employers</w:t>
      </w:r>
      <w:r w:rsidR="004E1EA1">
        <w:rPr>
          <w:rFonts w:ascii="Times New Roman" w:hAnsi="Times New Roman" w:cs="Times New Roman"/>
          <w:sz w:val="24"/>
          <w:szCs w:val="24"/>
        </w:rPr>
        <w:t>)</w:t>
      </w:r>
      <w:r w:rsidR="00024F5C">
        <w:rPr>
          <w:rFonts w:ascii="Times New Roman" w:hAnsi="Times New Roman" w:cs="Times New Roman"/>
          <w:sz w:val="24"/>
          <w:szCs w:val="24"/>
        </w:rPr>
        <w:t xml:space="preserve"> </w:t>
      </w:r>
      <w:r w:rsidR="00D4152E">
        <w:rPr>
          <w:rFonts w:ascii="Times New Roman" w:hAnsi="Times New Roman" w:cs="Times New Roman"/>
          <w:sz w:val="24"/>
          <w:szCs w:val="24"/>
        </w:rPr>
        <w:t xml:space="preserve">and they have structured their compliance programs with the understanding that these organizations are not subject to the CCPA requirements.  </w:t>
      </w:r>
      <w:r w:rsidR="004E1EA1">
        <w:rPr>
          <w:rFonts w:ascii="Times New Roman" w:hAnsi="Times New Roman" w:cs="Times New Roman"/>
          <w:sz w:val="24"/>
          <w:szCs w:val="24"/>
        </w:rPr>
        <w:t xml:space="preserve"> The ATP submits it would be useful for </w:t>
      </w:r>
      <w:r w:rsidR="00492A06">
        <w:rPr>
          <w:rFonts w:ascii="Times New Roman" w:hAnsi="Times New Roman" w:cs="Times New Roman"/>
          <w:sz w:val="24"/>
          <w:szCs w:val="24"/>
        </w:rPr>
        <w:t xml:space="preserve">the Agency </w:t>
      </w:r>
      <w:r w:rsidR="004E1EA1">
        <w:rPr>
          <w:rFonts w:ascii="Times New Roman" w:hAnsi="Times New Roman" w:cs="Times New Roman"/>
          <w:sz w:val="24"/>
          <w:szCs w:val="24"/>
        </w:rPr>
        <w:t xml:space="preserve">to </w:t>
      </w:r>
      <w:r w:rsidR="00492A06">
        <w:rPr>
          <w:rFonts w:ascii="Times New Roman" w:hAnsi="Times New Roman" w:cs="Times New Roman"/>
          <w:sz w:val="24"/>
          <w:szCs w:val="24"/>
        </w:rPr>
        <w:t>provide some examples</w:t>
      </w:r>
      <w:r w:rsidR="00CF7B92">
        <w:rPr>
          <w:rFonts w:ascii="Times New Roman" w:hAnsi="Times New Roman" w:cs="Times New Roman"/>
          <w:sz w:val="24"/>
          <w:szCs w:val="24"/>
        </w:rPr>
        <w:t xml:space="preserve"> for clarity</w:t>
      </w:r>
      <w:r w:rsidR="005D267C">
        <w:rPr>
          <w:rFonts w:ascii="Times New Roman" w:hAnsi="Times New Roman" w:cs="Times New Roman"/>
          <w:sz w:val="24"/>
          <w:szCs w:val="24"/>
        </w:rPr>
        <w:t xml:space="preserve"> to prevent misunderstandings </w:t>
      </w:r>
      <w:r w:rsidR="004E1EA1">
        <w:rPr>
          <w:rFonts w:ascii="Times New Roman" w:hAnsi="Times New Roman" w:cs="Times New Roman"/>
          <w:sz w:val="24"/>
          <w:szCs w:val="24"/>
        </w:rPr>
        <w:t>of</w:t>
      </w:r>
      <w:r w:rsidR="005D267C">
        <w:rPr>
          <w:rFonts w:ascii="Times New Roman" w:hAnsi="Times New Roman" w:cs="Times New Roman"/>
          <w:sz w:val="24"/>
          <w:szCs w:val="24"/>
        </w:rPr>
        <w:t xml:space="preserve"> this exemption. </w:t>
      </w:r>
    </w:p>
    <w:p w14:paraId="4FAEA977" w14:textId="71C376E3" w:rsidR="009F202B" w:rsidRDefault="00E601C9" w:rsidP="00E601C9">
      <w:pPr>
        <w:ind w:firstLine="720"/>
        <w:rPr>
          <w:rFonts w:ascii="Times New Roman" w:hAnsi="Times New Roman" w:cs="Times New Roman"/>
          <w:sz w:val="24"/>
          <w:szCs w:val="24"/>
        </w:rPr>
      </w:pPr>
      <w:r>
        <w:rPr>
          <w:rFonts w:ascii="Times New Roman" w:hAnsi="Times New Roman" w:cs="Times New Roman"/>
          <w:sz w:val="24"/>
          <w:szCs w:val="24"/>
        </w:rPr>
        <w:t xml:space="preserve">In </w:t>
      </w:r>
      <w:r w:rsidRPr="00E601C9">
        <w:rPr>
          <w:rFonts w:ascii="Times New Roman" w:hAnsi="Times New Roman" w:cs="Times New Roman"/>
          <w:sz w:val="24"/>
          <w:szCs w:val="24"/>
        </w:rPr>
        <w:t>Section 7051</w:t>
      </w:r>
      <w:r>
        <w:rPr>
          <w:rFonts w:ascii="Times New Roman" w:hAnsi="Times New Roman" w:cs="Times New Roman"/>
          <w:sz w:val="24"/>
          <w:szCs w:val="24"/>
        </w:rPr>
        <w:t xml:space="preserve"> “</w:t>
      </w:r>
      <w:r w:rsidRPr="00E601C9">
        <w:rPr>
          <w:rFonts w:ascii="Times New Roman" w:hAnsi="Times New Roman" w:cs="Times New Roman"/>
          <w:sz w:val="24"/>
          <w:szCs w:val="24"/>
        </w:rPr>
        <w:t>Contract Requirements for Service Providers and Contractors</w:t>
      </w:r>
      <w:r>
        <w:rPr>
          <w:rFonts w:ascii="Times New Roman" w:hAnsi="Times New Roman" w:cs="Times New Roman"/>
          <w:sz w:val="24"/>
          <w:szCs w:val="24"/>
        </w:rPr>
        <w:t>” the Proposed Regulations proscribe extensive provisions that</w:t>
      </w:r>
      <w:r w:rsidR="00C4211B">
        <w:rPr>
          <w:rFonts w:ascii="Times New Roman" w:hAnsi="Times New Roman" w:cs="Times New Roman"/>
          <w:sz w:val="24"/>
          <w:szCs w:val="24"/>
        </w:rPr>
        <w:t xml:space="preserve"> businesses</w:t>
      </w:r>
      <w:r>
        <w:rPr>
          <w:rFonts w:ascii="Times New Roman" w:hAnsi="Times New Roman" w:cs="Times New Roman"/>
          <w:sz w:val="24"/>
          <w:szCs w:val="24"/>
        </w:rPr>
        <w:t xml:space="preserve"> must </w:t>
      </w:r>
      <w:r w:rsidR="00E01EC2">
        <w:rPr>
          <w:rFonts w:ascii="Times New Roman" w:hAnsi="Times New Roman" w:cs="Times New Roman"/>
          <w:sz w:val="24"/>
          <w:szCs w:val="24"/>
        </w:rPr>
        <w:t>include</w:t>
      </w:r>
      <w:r>
        <w:rPr>
          <w:rFonts w:ascii="Times New Roman" w:hAnsi="Times New Roman" w:cs="Times New Roman"/>
          <w:sz w:val="24"/>
          <w:szCs w:val="24"/>
        </w:rPr>
        <w:t xml:space="preserve"> in </w:t>
      </w:r>
      <w:r w:rsidR="00E01EC2">
        <w:rPr>
          <w:rFonts w:ascii="Times New Roman" w:hAnsi="Times New Roman" w:cs="Times New Roman"/>
          <w:sz w:val="24"/>
          <w:szCs w:val="24"/>
        </w:rPr>
        <w:t>their</w:t>
      </w:r>
      <w:r w:rsidR="00C4211B">
        <w:rPr>
          <w:rFonts w:ascii="Times New Roman" w:hAnsi="Times New Roman" w:cs="Times New Roman"/>
          <w:sz w:val="24"/>
          <w:szCs w:val="24"/>
        </w:rPr>
        <w:t xml:space="preserve"> </w:t>
      </w:r>
      <w:r>
        <w:rPr>
          <w:rFonts w:ascii="Times New Roman" w:hAnsi="Times New Roman" w:cs="Times New Roman"/>
          <w:sz w:val="24"/>
          <w:szCs w:val="24"/>
        </w:rPr>
        <w:t>contracts</w:t>
      </w:r>
      <w:r w:rsidR="00E01EC2">
        <w:rPr>
          <w:rFonts w:ascii="Times New Roman" w:hAnsi="Times New Roman" w:cs="Times New Roman"/>
          <w:sz w:val="24"/>
          <w:szCs w:val="24"/>
        </w:rPr>
        <w:t xml:space="preserve"> with their service providers and contracto</w:t>
      </w:r>
      <w:r w:rsidR="009B0F3F">
        <w:rPr>
          <w:rFonts w:ascii="Times New Roman" w:hAnsi="Times New Roman" w:cs="Times New Roman"/>
          <w:sz w:val="24"/>
          <w:szCs w:val="24"/>
        </w:rPr>
        <w:t>rs.  Testing organizations</w:t>
      </w:r>
      <w:r w:rsidR="00DC4EF0">
        <w:rPr>
          <w:rFonts w:ascii="Times New Roman" w:hAnsi="Times New Roman" w:cs="Times New Roman"/>
          <w:sz w:val="24"/>
          <w:szCs w:val="24"/>
        </w:rPr>
        <w:t xml:space="preserve"> generally conduct </w:t>
      </w:r>
      <w:r w:rsidR="007C0927">
        <w:rPr>
          <w:rFonts w:ascii="Times New Roman" w:hAnsi="Times New Roman" w:cs="Times New Roman"/>
          <w:sz w:val="24"/>
          <w:szCs w:val="24"/>
        </w:rPr>
        <w:t xml:space="preserve">significant and </w:t>
      </w:r>
      <w:r w:rsidR="00E01EC2">
        <w:rPr>
          <w:rFonts w:ascii="Times New Roman" w:hAnsi="Times New Roman" w:cs="Times New Roman"/>
          <w:sz w:val="24"/>
          <w:szCs w:val="24"/>
        </w:rPr>
        <w:t xml:space="preserve">sufficient </w:t>
      </w:r>
      <w:r w:rsidR="00DC4EF0">
        <w:rPr>
          <w:rFonts w:ascii="Times New Roman" w:hAnsi="Times New Roman" w:cs="Times New Roman"/>
          <w:sz w:val="24"/>
          <w:szCs w:val="24"/>
        </w:rPr>
        <w:t>due diligence</w:t>
      </w:r>
      <w:r w:rsidR="00C85BBC">
        <w:rPr>
          <w:rFonts w:ascii="Times New Roman" w:hAnsi="Times New Roman" w:cs="Times New Roman"/>
          <w:sz w:val="24"/>
          <w:szCs w:val="24"/>
        </w:rPr>
        <w:t xml:space="preserve"> </w:t>
      </w:r>
      <w:r w:rsidR="003A32EE">
        <w:rPr>
          <w:rFonts w:ascii="Times New Roman" w:hAnsi="Times New Roman" w:cs="Times New Roman"/>
          <w:sz w:val="24"/>
          <w:szCs w:val="24"/>
        </w:rPr>
        <w:t xml:space="preserve">with service providers/contractors </w:t>
      </w:r>
      <w:r w:rsidR="00C85BBC">
        <w:rPr>
          <w:rFonts w:ascii="Times New Roman" w:hAnsi="Times New Roman" w:cs="Times New Roman"/>
          <w:sz w:val="24"/>
          <w:szCs w:val="24"/>
        </w:rPr>
        <w:t xml:space="preserve">and </w:t>
      </w:r>
      <w:r w:rsidR="00037D48">
        <w:rPr>
          <w:rFonts w:ascii="Times New Roman" w:hAnsi="Times New Roman" w:cs="Times New Roman"/>
          <w:sz w:val="24"/>
          <w:szCs w:val="24"/>
        </w:rPr>
        <w:t xml:space="preserve">based on that information, </w:t>
      </w:r>
      <w:r w:rsidR="00C85BBC">
        <w:rPr>
          <w:rFonts w:ascii="Times New Roman" w:hAnsi="Times New Roman" w:cs="Times New Roman"/>
          <w:sz w:val="24"/>
          <w:szCs w:val="24"/>
        </w:rPr>
        <w:t xml:space="preserve">delegate </w:t>
      </w:r>
      <w:r w:rsidR="00D44DBC">
        <w:rPr>
          <w:rFonts w:ascii="Times New Roman" w:hAnsi="Times New Roman" w:cs="Times New Roman"/>
          <w:sz w:val="24"/>
          <w:szCs w:val="24"/>
        </w:rPr>
        <w:t xml:space="preserve">privacy </w:t>
      </w:r>
      <w:r w:rsidR="00B52FEE">
        <w:rPr>
          <w:rFonts w:ascii="Times New Roman" w:hAnsi="Times New Roman" w:cs="Times New Roman"/>
          <w:sz w:val="24"/>
          <w:szCs w:val="24"/>
        </w:rPr>
        <w:t xml:space="preserve">(and associated security) </w:t>
      </w:r>
      <w:r w:rsidR="00C85BBC">
        <w:rPr>
          <w:rFonts w:ascii="Times New Roman" w:hAnsi="Times New Roman" w:cs="Times New Roman"/>
          <w:sz w:val="24"/>
          <w:szCs w:val="24"/>
        </w:rPr>
        <w:t xml:space="preserve">responsibilities </w:t>
      </w:r>
      <w:r w:rsidR="003A32EE">
        <w:rPr>
          <w:rFonts w:ascii="Times New Roman" w:hAnsi="Times New Roman" w:cs="Times New Roman"/>
          <w:sz w:val="24"/>
          <w:szCs w:val="24"/>
        </w:rPr>
        <w:t>under their contracts</w:t>
      </w:r>
      <w:r w:rsidR="00DC4EF0">
        <w:rPr>
          <w:rFonts w:ascii="Times New Roman" w:hAnsi="Times New Roman" w:cs="Times New Roman"/>
          <w:sz w:val="24"/>
          <w:szCs w:val="24"/>
        </w:rPr>
        <w:t xml:space="preserve">.  </w:t>
      </w:r>
      <w:bookmarkStart w:id="8" w:name="_Hlk111982037"/>
      <w:r w:rsidR="00B52FEE">
        <w:rPr>
          <w:rFonts w:ascii="Times New Roman" w:hAnsi="Times New Roman" w:cs="Times New Roman"/>
          <w:sz w:val="24"/>
          <w:szCs w:val="24"/>
        </w:rPr>
        <w:t xml:space="preserve">However, the ATP </w:t>
      </w:r>
      <w:r w:rsidR="00DC4EF0">
        <w:rPr>
          <w:rFonts w:ascii="Times New Roman" w:hAnsi="Times New Roman" w:cs="Times New Roman"/>
          <w:sz w:val="24"/>
          <w:szCs w:val="24"/>
        </w:rPr>
        <w:t>objects to specif</w:t>
      </w:r>
      <w:r w:rsidR="00B52FEE">
        <w:rPr>
          <w:rFonts w:ascii="Times New Roman" w:hAnsi="Times New Roman" w:cs="Times New Roman"/>
          <w:sz w:val="24"/>
          <w:szCs w:val="24"/>
        </w:rPr>
        <w:t>ic prescriptive</w:t>
      </w:r>
      <w:r w:rsidR="00DC4EF0">
        <w:rPr>
          <w:rFonts w:ascii="Times New Roman" w:hAnsi="Times New Roman" w:cs="Times New Roman"/>
          <w:sz w:val="24"/>
          <w:szCs w:val="24"/>
        </w:rPr>
        <w:t xml:space="preserve"> due diligence </w:t>
      </w:r>
      <w:r w:rsidR="00B52FEE">
        <w:rPr>
          <w:rFonts w:ascii="Times New Roman" w:hAnsi="Times New Roman" w:cs="Times New Roman"/>
          <w:sz w:val="24"/>
          <w:szCs w:val="24"/>
        </w:rPr>
        <w:t>the Agency would require of</w:t>
      </w:r>
      <w:r w:rsidR="00DC4EF0">
        <w:rPr>
          <w:rFonts w:ascii="Times New Roman" w:hAnsi="Times New Roman" w:cs="Times New Roman"/>
          <w:sz w:val="24"/>
          <w:szCs w:val="24"/>
        </w:rPr>
        <w:t xml:space="preserve"> a </w:t>
      </w:r>
      <w:r w:rsidR="00E01EC2">
        <w:rPr>
          <w:rFonts w:ascii="Times New Roman" w:hAnsi="Times New Roman" w:cs="Times New Roman"/>
          <w:sz w:val="24"/>
          <w:szCs w:val="24"/>
        </w:rPr>
        <w:t>business</w:t>
      </w:r>
      <w:r w:rsidR="00037D48">
        <w:rPr>
          <w:rFonts w:ascii="Times New Roman" w:hAnsi="Times New Roman" w:cs="Times New Roman"/>
          <w:sz w:val="24"/>
          <w:szCs w:val="24"/>
        </w:rPr>
        <w:t xml:space="preserve"> under the Proposed Regulations</w:t>
      </w:r>
      <w:r w:rsidR="00B52FEE">
        <w:rPr>
          <w:rFonts w:ascii="Times New Roman" w:hAnsi="Times New Roman" w:cs="Times New Roman"/>
          <w:sz w:val="24"/>
          <w:szCs w:val="24"/>
        </w:rPr>
        <w:t>;</w:t>
      </w:r>
      <w:r w:rsidR="0060360A">
        <w:rPr>
          <w:rFonts w:ascii="Times New Roman" w:hAnsi="Times New Roman" w:cs="Times New Roman"/>
          <w:sz w:val="24"/>
          <w:szCs w:val="24"/>
        </w:rPr>
        <w:t xml:space="preserve"> i</w:t>
      </w:r>
      <w:r w:rsidR="00DC4EF0">
        <w:rPr>
          <w:rFonts w:ascii="Times New Roman" w:hAnsi="Times New Roman" w:cs="Times New Roman"/>
          <w:sz w:val="24"/>
          <w:szCs w:val="24"/>
        </w:rPr>
        <w:t xml:space="preserve">nstead, </w:t>
      </w:r>
      <w:r w:rsidR="0060360A">
        <w:rPr>
          <w:rFonts w:ascii="Times New Roman" w:hAnsi="Times New Roman" w:cs="Times New Roman"/>
          <w:sz w:val="24"/>
          <w:szCs w:val="24"/>
        </w:rPr>
        <w:t xml:space="preserve">a </w:t>
      </w:r>
      <w:r w:rsidR="00E01EC2">
        <w:rPr>
          <w:rFonts w:ascii="Times New Roman" w:hAnsi="Times New Roman" w:cs="Times New Roman"/>
          <w:sz w:val="24"/>
          <w:szCs w:val="24"/>
        </w:rPr>
        <w:t>business</w:t>
      </w:r>
      <w:r w:rsidR="0060360A">
        <w:rPr>
          <w:rFonts w:ascii="Times New Roman" w:hAnsi="Times New Roman" w:cs="Times New Roman"/>
          <w:sz w:val="24"/>
          <w:szCs w:val="24"/>
        </w:rPr>
        <w:t xml:space="preserve"> should be allowed</w:t>
      </w:r>
      <w:r w:rsidR="00E01EC2">
        <w:rPr>
          <w:rFonts w:ascii="Times New Roman" w:hAnsi="Times New Roman" w:cs="Times New Roman"/>
          <w:sz w:val="24"/>
          <w:szCs w:val="24"/>
        </w:rPr>
        <w:t xml:space="preserve"> </w:t>
      </w:r>
      <w:r w:rsidR="00DC4EF0">
        <w:rPr>
          <w:rFonts w:ascii="Times New Roman" w:hAnsi="Times New Roman" w:cs="Times New Roman"/>
          <w:sz w:val="24"/>
          <w:szCs w:val="24"/>
        </w:rPr>
        <w:t>greater flexibility with re</w:t>
      </w:r>
      <w:r w:rsidR="0060360A">
        <w:rPr>
          <w:rFonts w:ascii="Times New Roman" w:hAnsi="Times New Roman" w:cs="Times New Roman"/>
          <w:sz w:val="24"/>
          <w:szCs w:val="24"/>
        </w:rPr>
        <w:t>spect</w:t>
      </w:r>
      <w:r w:rsidR="00DC4EF0">
        <w:rPr>
          <w:rFonts w:ascii="Times New Roman" w:hAnsi="Times New Roman" w:cs="Times New Roman"/>
          <w:sz w:val="24"/>
          <w:szCs w:val="24"/>
        </w:rPr>
        <w:t xml:space="preserve"> to </w:t>
      </w:r>
      <w:r w:rsidR="0060360A">
        <w:rPr>
          <w:rFonts w:ascii="Times New Roman" w:hAnsi="Times New Roman" w:cs="Times New Roman"/>
          <w:sz w:val="24"/>
          <w:szCs w:val="24"/>
        </w:rPr>
        <w:t>its</w:t>
      </w:r>
      <w:r w:rsidR="00DC4EF0">
        <w:rPr>
          <w:rFonts w:ascii="Times New Roman" w:hAnsi="Times New Roman" w:cs="Times New Roman"/>
          <w:sz w:val="24"/>
          <w:szCs w:val="24"/>
        </w:rPr>
        <w:t xml:space="preserve"> due diligence efforts that align with the facts and circumstances of </w:t>
      </w:r>
      <w:r w:rsidR="0060360A">
        <w:rPr>
          <w:rFonts w:ascii="Times New Roman" w:hAnsi="Times New Roman" w:cs="Times New Roman"/>
          <w:sz w:val="24"/>
          <w:szCs w:val="24"/>
        </w:rPr>
        <w:t>its</w:t>
      </w:r>
      <w:r w:rsidR="00DC4EF0">
        <w:rPr>
          <w:rFonts w:ascii="Times New Roman" w:hAnsi="Times New Roman" w:cs="Times New Roman"/>
          <w:sz w:val="24"/>
          <w:szCs w:val="24"/>
        </w:rPr>
        <w:t xml:space="preserve"> relationship</w:t>
      </w:r>
      <w:r w:rsidR="00E01EC2">
        <w:rPr>
          <w:rFonts w:ascii="Times New Roman" w:hAnsi="Times New Roman" w:cs="Times New Roman"/>
          <w:sz w:val="24"/>
          <w:szCs w:val="24"/>
        </w:rPr>
        <w:t xml:space="preserve"> </w:t>
      </w:r>
      <w:r w:rsidR="0060360A">
        <w:rPr>
          <w:rFonts w:ascii="Times New Roman" w:hAnsi="Times New Roman" w:cs="Times New Roman"/>
          <w:sz w:val="24"/>
          <w:szCs w:val="24"/>
        </w:rPr>
        <w:t>with a</w:t>
      </w:r>
      <w:r w:rsidR="00E01EC2">
        <w:rPr>
          <w:rFonts w:ascii="Times New Roman" w:hAnsi="Times New Roman" w:cs="Times New Roman"/>
          <w:sz w:val="24"/>
          <w:szCs w:val="24"/>
        </w:rPr>
        <w:t xml:space="preserve"> particular service provider or contractor</w:t>
      </w:r>
      <w:r w:rsidR="00775BF1">
        <w:rPr>
          <w:rFonts w:ascii="Times New Roman" w:hAnsi="Times New Roman" w:cs="Times New Roman"/>
          <w:sz w:val="24"/>
          <w:szCs w:val="24"/>
        </w:rPr>
        <w:t xml:space="preserve">, especially if that relationship is well-established </w:t>
      </w:r>
      <w:r w:rsidR="003D3959">
        <w:rPr>
          <w:rFonts w:ascii="Times New Roman" w:hAnsi="Times New Roman" w:cs="Times New Roman"/>
          <w:sz w:val="24"/>
          <w:szCs w:val="24"/>
        </w:rPr>
        <w:t>and has allowed both entities to build an agreed process/protocol for how they interact</w:t>
      </w:r>
      <w:r w:rsidR="00DC4EF0">
        <w:rPr>
          <w:rFonts w:ascii="Times New Roman" w:hAnsi="Times New Roman" w:cs="Times New Roman"/>
          <w:sz w:val="24"/>
          <w:szCs w:val="24"/>
        </w:rPr>
        <w:t>.</w:t>
      </w:r>
      <w:r w:rsidR="00024F5C">
        <w:rPr>
          <w:rFonts w:ascii="Times New Roman" w:hAnsi="Times New Roman" w:cs="Times New Roman"/>
          <w:sz w:val="24"/>
          <w:szCs w:val="24"/>
        </w:rPr>
        <w:t xml:space="preserve"> </w:t>
      </w:r>
      <w:r w:rsidR="00DC4EF0">
        <w:rPr>
          <w:rFonts w:ascii="Times New Roman" w:hAnsi="Times New Roman" w:cs="Times New Roman"/>
          <w:sz w:val="24"/>
          <w:szCs w:val="24"/>
        </w:rPr>
        <w:t xml:space="preserve"> </w:t>
      </w:r>
      <w:bookmarkEnd w:id="8"/>
      <w:r w:rsidR="007F2219">
        <w:rPr>
          <w:rFonts w:ascii="Times New Roman" w:hAnsi="Times New Roman" w:cs="Times New Roman"/>
          <w:sz w:val="24"/>
          <w:szCs w:val="24"/>
        </w:rPr>
        <w:t>For smaller</w:t>
      </w:r>
      <w:r w:rsidR="00E01EC2">
        <w:rPr>
          <w:rFonts w:ascii="Times New Roman" w:hAnsi="Times New Roman" w:cs="Times New Roman"/>
          <w:sz w:val="24"/>
          <w:szCs w:val="24"/>
        </w:rPr>
        <w:t xml:space="preserve"> businesses, for example, </w:t>
      </w:r>
      <w:r w:rsidR="007F2219">
        <w:rPr>
          <w:rFonts w:ascii="Times New Roman" w:hAnsi="Times New Roman" w:cs="Times New Roman"/>
          <w:sz w:val="24"/>
          <w:szCs w:val="24"/>
        </w:rPr>
        <w:t xml:space="preserve">conducting </w:t>
      </w:r>
      <w:r w:rsidR="0060360A">
        <w:rPr>
          <w:rFonts w:ascii="Times New Roman" w:hAnsi="Times New Roman" w:cs="Times New Roman"/>
          <w:sz w:val="24"/>
          <w:szCs w:val="24"/>
        </w:rPr>
        <w:t xml:space="preserve">an </w:t>
      </w:r>
      <w:r w:rsidR="00ED03CF">
        <w:rPr>
          <w:rFonts w:ascii="Times New Roman" w:hAnsi="Times New Roman" w:cs="Times New Roman"/>
          <w:sz w:val="24"/>
          <w:szCs w:val="24"/>
        </w:rPr>
        <w:t xml:space="preserve">automatic </w:t>
      </w:r>
      <w:r w:rsidR="007F2219">
        <w:rPr>
          <w:rFonts w:ascii="Times New Roman" w:hAnsi="Times New Roman" w:cs="Times New Roman"/>
          <w:sz w:val="24"/>
          <w:szCs w:val="24"/>
        </w:rPr>
        <w:t xml:space="preserve">annual audit </w:t>
      </w:r>
      <w:r w:rsidR="00FF52B2">
        <w:rPr>
          <w:rFonts w:ascii="Times New Roman" w:hAnsi="Times New Roman" w:cs="Times New Roman"/>
          <w:sz w:val="24"/>
          <w:szCs w:val="24"/>
        </w:rPr>
        <w:t xml:space="preserve">where </w:t>
      </w:r>
      <w:r w:rsidR="00F75AE3">
        <w:rPr>
          <w:rFonts w:ascii="Times New Roman" w:hAnsi="Times New Roman" w:cs="Times New Roman"/>
          <w:sz w:val="24"/>
          <w:szCs w:val="24"/>
        </w:rPr>
        <w:t xml:space="preserve">the testing organization has </w:t>
      </w:r>
      <w:r w:rsidR="00FF52B2">
        <w:rPr>
          <w:rFonts w:ascii="Times New Roman" w:hAnsi="Times New Roman" w:cs="Times New Roman"/>
          <w:sz w:val="24"/>
          <w:szCs w:val="24"/>
        </w:rPr>
        <w:t xml:space="preserve">no evidence of any auditable issues </w:t>
      </w:r>
      <w:r w:rsidR="00ED03CF">
        <w:rPr>
          <w:rFonts w:ascii="Times New Roman" w:hAnsi="Times New Roman" w:cs="Times New Roman"/>
          <w:sz w:val="24"/>
          <w:szCs w:val="24"/>
        </w:rPr>
        <w:t>could</w:t>
      </w:r>
      <w:r w:rsidR="007F2219">
        <w:rPr>
          <w:rFonts w:ascii="Times New Roman" w:hAnsi="Times New Roman" w:cs="Times New Roman"/>
          <w:sz w:val="24"/>
          <w:szCs w:val="24"/>
        </w:rPr>
        <w:t xml:space="preserve"> be </w:t>
      </w:r>
      <w:r w:rsidR="00E51929">
        <w:rPr>
          <w:rFonts w:ascii="Times New Roman" w:hAnsi="Times New Roman" w:cs="Times New Roman"/>
          <w:sz w:val="24"/>
          <w:szCs w:val="24"/>
        </w:rPr>
        <w:t>a serious burden</w:t>
      </w:r>
      <w:r w:rsidR="007F2219">
        <w:rPr>
          <w:rFonts w:ascii="Times New Roman" w:hAnsi="Times New Roman" w:cs="Times New Roman"/>
          <w:sz w:val="24"/>
          <w:szCs w:val="24"/>
        </w:rPr>
        <w:t xml:space="preserve"> result</w:t>
      </w:r>
      <w:r w:rsidR="00E51929">
        <w:rPr>
          <w:rFonts w:ascii="Times New Roman" w:hAnsi="Times New Roman" w:cs="Times New Roman"/>
          <w:sz w:val="24"/>
          <w:szCs w:val="24"/>
        </w:rPr>
        <w:t>ing</w:t>
      </w:r>
      <w:r w:rsidR="007F2219">
        <w:rPr>
          <w:rFonts w:ascii="Times New Roman" w:hAnsi="Times New Roman" w:cs="Times New Roman"/>
          <w:sz w:val="24"/>
          <w:szCs w:val="24"/>
        </w:rPr>
        <w:t xml:space="preserve"> in</w:t>
      </w:r>
      <w:r w:rsidR="00E01EC2">
        <w:rPr>
          <w:rFonts w:ascii="Times New Roman" w:hAnsi="Times New Roman" w:cs="Times New Roman"/>
          <w:sz w:val="24"/>
          <w:szCs w:val="24"/>
        </w:rPr>
        <w:t xml:space="preserve"> significant additional costs</w:t>
      </w:r>
      <w:r w:rsidR="0060360A">
        <w:rPr>
          <w:rFonts w:ascii="Times New Roman" w:hAnsi="Times New Roman" w:cs="Times New Roman"/>
          <w:sz w:val="24"/>
          <w:szCs w:val="24"/>
        </w:rPr>
        <w:t>, which would be</w:t>
      </w:r>
      <w:r w:rsidR="00E01EC2">
        <w:rPr>
          <w:rFonts w:ascii="Times New Roman" w:hAnsi="Times New Roman" w:cs="Times New Roman"/>
          <w:sz w:val="24"/>
          <w:szCs w:val="24"/>
        </w:rPr>
        <w:t xml:space="preserve"> p</w:t>
      </w:r>
      <w:r w:rsidR="0060360A">
        <w:rPr>
          <w:rFonts w:ascii="Times New Roman" w:hAnsi="Times New Roman" w:cs="Times New Roman"/>
          <w:sz w:val="24"/>
          <w:szCs w:val="24"/>
        </w:rPr>
        <w:t>assed along</w:t>
      </w:r>
      <w:r w:rsidR="00E01EC2">
        <w:rPr>
          <w:rFonts w:ascii="Times New Roman" w:hAnsi="Times New Roman" w:cs="Times New Roman"/>
          <w:sz w:val="24"/>
          <w:szCs w:val="24"/>
        </w:rPr>
        <w:t xml:space="preserve"> to consumers</w:t>
      </w:r>
      <w:r w:rsidR="00FF52B2">
        <w:rPr>
          <w:rFonts w:ascii="Times New Roman" w:hAnsi="Times New Roman" w:cs="Times New Roman"/>
          <w:sz w:val="24"/>
          <w:szCs w:val="24"/>
        </w:rPr>
        <w:t>.</w:t>
      </w:r>
    </w:p>
    <w:p w14:paraId="651C4AE2" w14:textId="4125341F" w:rsidR="008F6C8C" w:rsidRDefault="002027CA" w:rsidP="00423140">
      <w:pPr>
        <w:rPr>
          <w:rFonts w:ascii="Times New Roman" w:hAnsi="Times New Roman" w:cs="Times New Roman"/>
          <w:sz w:val="24"/>
          <w:szCs w:val="24"/>
        </w:rPr>
      </w:pPr>
      <w:r>
        <w:rPr>
          <w:rFonts w:ascii="Times New Roman" w:hAnsi="Times New Roman" w:cs="Times New Roman"/>
          <w:sz w:val="24"/>
          <w:szCs w:val="24"/>
        </w:rPr>
        <w:t>Related to</w:t>
      </w:r>
      <w:r w:rsidR="003A04AD">
        <w:rPr>
          <w:rFonts w:ascii="Times New Roman" w:hAnsi="Times New Roman" w:cs="Times New Roman"/>
          <w:sz w:val="24"/>
          <w:szCs w:val="24"/>
        </w:rPr>
        <w:t xml:space="preserve"> Section 7052 “Third Parties,” </w:t>
      </w:r>
      <w:r w:rsidR="00ED1404">
        <w:rPr>
          <w:rFonts w:ascii="Times New Roman" w:hAnsi="Times New Roman" w:cs="Times New Roman"/>
          <w:sz w:val="24"/>
          <w:szCs w:val="24"/>
        </w:rPr>
        <w:t>t</w:t>
      </w:r>
      <w:r w:rsidR="00046AC2">
        <w:rPr>
          <w:rFonts w:ascii="Times New Roman" w:hAnsi="Times New Roman" w:cs="Times New Roman"/>
          <w:sz w:val="24"/>
          <w:szCs w:val="24"/>
        </w:rPr>
        <w:t xml:space="preserve">he ATP has concerns specifically with the requirement that businesses flow down requirements to the third party </w:t>
      </w:r>
      <w:r w:rsidR="004301FD">
        <w:rPr>
          <w:rFonts w:ascii="Times New Roman" w:hAnsi="Times New Roman" w:cs="Times New Roman"/>
          <w:sz w:val="24"/>
          <w:szCs w:val="24"/>
        </w:rPr>
        <w:t>when</w:t>
      </w:r>
      <w:r w:rsidR="00FF6CB6">
        <w:rPr>
          <w:rFonts w:ascii="Times New Roman" w:hAnsi="Times New Roman" w:cs="Times New Roman"/>
          <w:sz w:val="24"/>
          <w:szCs w:val="24"/>
        </w:rPr>
        <w:t xml:space="preserve"> the business receives </w:t>
      </w:r>
      <w:r w:rsidR="004301FD">
        <w:rPr>
          <w:rFonts w:ascii="Times New Roman" w:hAnsi="Times New Roman" w:cs="Times New Roman"/>
          <w:sz w:val="24"/>
          <w:szCs w:val="24"/>
        </w:rPr>
        <w:t xml:space="preserve">a </w:t>
      </w:r>
      <w:r w:rsidR="00FF6CB6">
        <w:rPr>
          <w:rFonts w:ascii="Times New Roman" w:hAnsi="Times New Roman" w:cs="Times New Roman"/>
          <w:sz w:val="24"/>
          <w:szCs w:val="24"/>
        </w:rPr>
        <w:t xml:space="preserve">consumer </w:t>
      </w:r>
      <w:r w:rsidR="004301FD">
        <w:rPr>
          <w:rFonts w:ascii="Times New Roman" w:hAnsi="Times New Roman" w:cs="Times New Roman"/>
          <w:sz w:val="24"/>
          <w:szCs w:val="24"/>
        </w:rPr>
        <w:t xml:space="preserve">request </w:t>
      </w:r>
      <w:r w:rsidR="00FF6CB6">
        <w:rPr>
          <w:rFonts w:ascii="Times New Roman" w:hAnsi="Times New Roman" w:cs="Times New Roman"/>
          <w:sz w:val="24"/>
          <w:szCs w:val="24"/>
        </w:rPr>
        <w:t>to delete or opt out of the sale/sharing</w:t>
      </w:r>
      <w:r w:rsidR="00920C8E">
        <w:rPr>
          <w:rFonts w:ascii="Times New Roman" w:hAnsi="Times New Roman" w:cs="Times New Roman"/>
          <w:sz w:val="24"/>
          <w:szCs w:val="24"/>
        </w:rPr>
        <w:t xml:space="preserve">, as the third party is required in subsection (c) to recognize the opt out signal.  </w:t>
      </w:r>
      <w:r w:rsidR="006064FB">
        <w:rPr>
          <w:rFonts w:ascii="Times New Roman" w:hAnsi="Times New Roman" w:cs="Times New Roman"/>
          <w:sz w:val="24"/>
          <w:szCs w:val="24"/>
        </w:rPr>
        <w:t>While the ATP</w:t>
      </w:r>
      <w:r w:rsidR="00920C8E">
        <w:rPr>
          <w:rFonts w:ascii="Times New Roman" w:hAnsi="Times New Roman" w:cs="Times New Roman"/>
          <w:sz w:val="24"/>
          <w:szCs w:val="24"/>
        </w:rPr>
        <w:t xml:space="preserve"> support</w:t>
      </w:r>
      <w:r w:rsidR="006064FB">
        <w:rPr>
          <w:rFonts w:ascii="Times New Roman" w:hAnsi="Times New Roman" w:cs="Times New Roman"/>
          <w:sz w:val="24"/>
          <w:szCs w:val="24"/>
        </w:rPr>
        <w:t>s</w:t>
      </w:r>
      <w:r w:rsidR="00920C8E">
        <w:rPr>
          <w:rFonts w:ascii="Times New Roman" w:hAnsi="Times New Roman" w:cs="Times New Roman"/>
          <w:sz w:val="24"/>
          <w:szCs w:val="24"/>
        </w:rPr>
        <w:t xml:space="preserve"> the requirement for third parties to recognize the opt out signals from consumers</w:t>
      </w:r>
      <w:r w:rsidR="00414770">
        <w:rPr>
          <w:rFonts w:ascii="Times New Roman" w:hAnsi="Times New Roman" w:cs="Times New Roman"/>
          <w:sz w:val="24"/>
          <w:szCs w:val="24"/>
        </w:rPr>
        <w:t xml:space="preserve">, we do not believe that testing organizations generally have any reason to </w:t>
      </w:r>
      <w:r w:rsidR="00920C8E">
        <w:rPr>
          <w:rFonts w:ascii="Times New Roman" w:hAnsi="Times New Roman" w:cs="Times New Roman"/>
          <w:sz w:val="24"/>
          <w:szCs w:val="24"/>
        </w:rPr>
        <w:t>provide sensitive personal information to third parties</w:t>
      </w:r>
      <w:r w:rsidR="008A6F6D">
        <w:rPr>
          <w:rFonts w:ascii="Times New Roman" w:hAnsi="Times New Roman" w:cs="Times New Roman"/>
          <w:sz w:val="24"/>
          <w:szCs w:val="24"/>
        </w:rPr>
        <w:t>, where the “flow-down” privacy requirements of Section 7053 would come into play</w:t>
      </w:r>
      <w:r w:rsidR="00920C8E">
        <w:rPr>
          <w:rFonts w:ascii="Times New Roman" w:hAnsi="Times New Roman" w:cs="Times New Roman"/>
          <w:sz w:val="24"/>
          <w:szCs w:val="24"/>
        </w:rPr>
        <w:t>.</w:t>
      </w:r>
      <w:r w:rsidR="00C61328">
        <w:rPr>
          <w:rFonts w:ascii="Times New Roman" w:hAnsi="Times New Roman" w:cs="Times New Roman"/>
          <w:sz w:val="24"/>
          <w:szCs w:val="24"/>
        </w:rPr>
        <w:t xml:space="preserve">  </w:t>
      </w:r>
      <w:r w:rsidR="006D7368">
        <w:rPr>
          <w:rFonts w:ascii="Times New Roman" w:hAnsi="Times New Roman" w:cs="Times New Roman"/>
          <w:sz w:val="24"/>
          <w:szCs w:val="24"/>
        </w:rPr>
        <w:t>T</w:t>
      </w:r>
      <w:r w:rsidR="00102F95">
        <w:rPr>
          <w:rFonts w:ascii="Times New Roman" w:hAnsi="Times New Roman" w:cs="Times New Roman"/>
          <w:sz w:val="24"/>
          <w:szCs w:val="24"/>
        </w:rPr>
        <w:t>hus, this proposal</w:t>
      </w:r>
      <w:r w:rsidR="006D7368">
        <w:rPr>
          <w:rFonts w:ascii="Times New Roman" w:hAnsi="Times New Roman" w:cs="Times New Roman"/>
          <w:sz w:val="24"/>
          <w:szCs w:val="24"/>
        </w:rPr>
        <w:t xml:space="preserve"> creates an unnecessary burden on businesses and from a practical standpoint </w:t>
      </w:r>
      <w:r w:rsidR="00A67201">
        <w:rPr>
          <w:rFonts w:ascii="Times New Roman" w:hAnsi="Times New Roman" w:cs="Times New Roman"/>
          <w:sz w:val="24"/>
          <w:szCs w:val="24"/>
        </w:rPr>
        <w:t>it is</w:t>
      </w:r>
      <w:r w:rsidR="006D7368">
        <w:rPr>
          <w:rFonts w:ascii="Times New Roman" w:hAnsi="Times New Roman" w:cs="Times New Roman"/>
          <w:sz w:val="24"/>
          <w:szCs w:val="24"/>
        </w:rPr>
        <w:t xml:space="preserve"> nearly impossible to effectuate</w:t>
      </w:r>
      <w:r w:rsidR="00836D3F">
        <w:rPr>
          <w:rFonts w:ascii="Times New Roman" w:hAnsi="Times New Roman" w:cs="Times New Roman"/>
          <w:sz w:val="24"/>
          <w:szCs w:val="24"/>
        </w:rPr>
        <w:t xml:space="preserve"> </w:t>
      </w:r>
      <w:r w:rsidR="006721E4">
        <w:rPr>
          <w:rFonts w:ascii="Times New Roman" w:hAnsi="Times New Roman" w:cs="Times New Roman"/>
          <w:sz w:val="24"/>
          <w:szCs w:val="24"/>
        </w:rPr>
        <w:t xml:space="preserve">a flow-down of privacy requirements </w:t>
      </w:r>
      <w:r w:rsidR="00826A48">
        <w:rPr>
          <w:rFonts w:ascii="Times New Roman" w:hAnsi="Times New Roman" w:cs="Times New Roman"/>
          <w:sz w:val="24"/>
          <w:szCs w:val="24"/>
        </w:rPr>
        <w:t>because</w:t>
      </w:r>
      <w:r w:rsidR="00836D3F">
        <w:rPr>
          <w:rFonts w:ascii="Times New Roman" w:hAnsi="Times New Roman" w:cs="Times New Roman"/>
          <w:sz w:val="24"/>
          <w:szCs w:val="24"/>
        </w:rPr>
        <w:t xml:space="preserve"> testing organizations have little leverage over many of these third parties (e.g., social media links for test takers’ use).</w:t>
      </w:r>
      <w:r w:rsidR="006721E4">
        <w:rPr>
          <w:rFonts w:ascii="Times New Roman" w:hAnsi="Times New Roman" w:cs="Times New Roman"/>
          <w:sz w:val="24"/>
          <w:szCs w:val="24"/>
        </w:rPr>
        <w:t xml:space="preserve">  Indeed, most testing organizations only</w:t>
      </w:r>
      <w:r w:rsidR="006D7368">
        <w:rPr>
          <w:rFonts w:ascii="Times New Roman" w:hAnsi="Times New Roman" w:cs="Times New Roman"/>
          <w:sz w:val="24"/>
          <w:szCs w:val="24"/>
        </w:rPr>
        <w:t xml:space="preserve"> use analytics providers to better operate their test deliver</w:t>
      </w:r>
      <w:r w:rsidR="00302AD9">
        <w:rPr>
          <w:rFonts w:ascii="Times New Roman" w:hAnsi="Times New Roman" w:cs="Times New Roman"/>
          <w:sz w:val="24"/>
          <w:szCs w:val="24"/>
        </w:rPr>
        <w:t>y</w:t>
      </w:r>
      <w:r w:rsidR="006D7368">
        <w:rPr>
          <w:rFonts w:ascii="Times New Roman" w:hAnsi="Times New Roman" w:cs="Times New Roman"/>
          <w:sz w:val="24"/>
          <w:szCs w:val="24"/>
        </w:rPr>
        <w:t xml:space="preserve"> platforms and for website operations</w:t>
      </w:r>
      <w:r w:rsidR="006721E4">
        <w:rPr>
          <w:rFonts w:ascii="Times New Roman" w:hAnsi="Times New Roman" w:cs="Times New Roman"/>
          <w:sz w:val="24"/>
          <w:szCs w:val="24"/>
        </w:rPr>
        <w:t>, although they m</w:t>
      </w:r>
      <w:r w:rsidR="006D7368">
        <w:rPr>
          <w:rFonts w:ascii="Times New Roman" w:hAnsi="Times New Roman" w:cs="Times New Roman"/>
          <w:sz w:val="24"/>
          <w:szCs w:val="24"/>
        </w:rPr>
        <w:t xml:space="preserve">ay provide links to their own social media pages where test takers can access resources and convene with peers, and where </w:t>
      </w:r>
      <w:r w:rsidR="00CC1CDB">
        <w:rPr>
          <w:rFonts w:ascii="Times New Roman" w:hAnsi="Times New Roman" w:cs="Times New Roman"/>
          <w:sz w:val="24"/>
          <w:szCs w:val="24"/>
        </w:rPr>
        <w:t>members of the testing</w:t>
      </w:r>
      <w:r w:rsidR="006D7368">
        <w:rPr>
          <w:rFonts w:ascii="Times New Roman" w:hAnsi="Times New Roman" w:cs="Times New Roman"/>
          <w:sz w:val="24"/>
          <w:szCs w:val="24"/>
        </w:rPr>
        <w:t xml:space="preserve"> community can interact.  They do not intend for these third parties </w:t>
      </w:r>
      <w:r w:rsidR="00302AD9">
        <w:rPr>
          <w:rFonts w:ascii="Times New Roman" w:hAnsi="Times New Roman" w:cs="Times New Roman"/>
          <w:sz w:val="24"/>
          <w:szCs w:val="24"/>
        </w:rPr>
        <w:t xml:space="preserve">to </w:t>
      </w:r>
      <w:r w:rsidR="006D7368">
        <w:rPr>
          <w:rFonts w:ascii="Times New Roman" w:hAnsi="Times New Roman" w:cs="Times New Roman"/>
          <w:sz w:val="24"/>
          <w:szCs w:val="24"/>
        </w:rPr>
        <w:t xml:space="preserve">use </w:t>
      </w:r>
      <w:r w:rsidR="006D7368">
        <w:rPr>
          <w:rFonts w:ascii="Times New Roman" w:hAnsi="Times New Roman" w:cs="Times New Roman"/>
          <w:sz w:val="24"/>
          <w:szCs w:val="24"/>
        </w:rPr>
        <w:lastRenderedPageBreak/>
        <w:t>personal information for their own purposes and certainly do not want any personal information use</w:t>
      </w:r>
      <w:r w:rsidR="00302AD9">
        <w:rPr>
          <w:rFonts w:ascii="Times New Roman" w:hAnsi="Times New Roman" w:cs="Times New Roman"/>
          <w:sz w:val="24"/>
          <w:szCs w:val="24"/>
        </w:rPr>
        <w:t>d</w:t>
      </w:r>
      <w:r w:rsidR="006D7368">
        <w:rPr>
          <w:rFonts w:ascii="Times New Roman" w:hAnsi="Times New Roman" w:cs="Times New Roman"/>
          <w:sz w:val="24"/>
          <w:szCs w:val="24"/>
        </w:rPr>
        <w:t xml:space="preserve"> for any targeted ads or marketing for the third parties and their other customers. Th</w:t>
      </w:r>
      <w:r w:rsidR="00565B45">
        <w:rPr>
          <w:rFonts w:ascii="Times New Roman" w:hAnsi="Times New Roman" w:cs="Times New Roman"/>
          <w:sz w:val="24"/>
          <w:szCs w:val="24"/>
        </w:rPr>
        <w:t xml:space="preserve">e ATP recommends that the Agency </w:t>
      </w:r>
      <w:r w:rsidR="00A9706C">
        <w:rPr>
          <w:rFonts w:ascii="Times New Roman" w:hAnsi="Times New Roman" w:cs="Times New Roman"/>
          <w:sz w:val="24"/>
          <w:szCs w:val="24"/>
        </w:rPr>
        <w:t xml:space="preserve">should revise the Proposed </w:t>
      </w:r>
      <w:r w:rsidR="00826A48">
        <w:rPr>
          <w:rFonts w:ascii="Times New Roman" w:hAnsi="Times New Roman" w:cs="Times New Roman"/>
          <w:sz w:val="24"/>
          <w:szCs w:val="24"/>
        </w:rPr>
        <w:t>Regulations</w:t>
      </w:r>
      <w:r w:rsidR="00A9706C">
        <w:rPr>
          <w:rFonts w:ascii="Times New Roman" w:hAnsi="Times New Roman" w:cs="Times New Roman"/>
          <w:sz w:val="24"/>
          <w:szCs w:val="24"/>
        </w:rPr>
        <w:t xml:space="preserve"> so they directly </w:t>
      </w:r>
      <w:r w:rsidR="0098558D">
        <w:rPr>
          <w:rFonts w:ascii="Times New Roman" w:hAnsi="Times New Roman" w:cs="Times New Roman"/>
          <w:sz w:val="24"/>
          <w:szCs w:val="24"/>
        </w:rPr>
        <w:t>address</w:t>
      </w:r>
      <w:r w:rsidR="00A9706C">
        <w:rPr>
          <w:rFonts w:ascii="Times New Roman" w:hAnsi="Times New Roman" w:cs="Times New Roman"/>
          <w:sz w:val="24"/>
          <w:szCs w:val="24"/>
        </w:rPr>
        <w:t xml:space="preserve"> such third-party vendors</w:t>
      </w:r>
      <w:r w:rsidR="0098558D">
        <w:rPr>
          <w:rFonts w:ascii="Times New Roman" w:hAnsi="Times New Roman" w:cs="Times New Roman"/>
          <w:sz w:val="24"/>
          <w:szCs w:val="24"/>
        </w:rPr>
        <w:t xml:space="preserve"> who misuse consumers’ personal information obtained </w:t>
      </w:r>
      <w:r w:rsidR="001B56F7">
        <w:rPr>
          <w:rFonts w:ascii="Times New Roman" w:hAnsi="Times New Roman" w:cs="Times New Roman"/>
          <w:sz w:val="24"/>
          <w:szCs w:val="24"/>
        </w:rPr>
        <w:t xml:space="preserve">from consumers </w:t>
      </w:r>
      <w:r w:rsidR="0098558D">
        <w:rPr>
          <w:rFonts w:ascii="Times New Roman" w:hAnsi="Times New Roman" w:cs="Times New Roman"/>
          <w:sz w:val="24"/>
          <w:szCs w:val="24"/>
        </w:rPr>
        <w:t xml:space="preserve">through links from </w:t>
      </w:r>
      <w:r w:rsidR="001B56F7">
        <w:rPr>
          <w:rFonts w:ascii="Times New Roman" w:hAnsi="Times New Roman" w:cs="Times New Roman"/>
          <w:sz w:val="24"/>
          <w:szCs w:val="24"/>
        </w:rPr>
        <w:t>a</w:t>
      </w:r>
      <w:r w:rsidR="0098558D">
        <w:rPr>
          <w:rFonts w:ascii="Times New Roman" w:hAnsi="Times New Roman" w:cs="Times New Roman"/>
          <w:sz w:val="24"/>
          <w:szCs w:val="24"/>
        </w:rPr>
        <w:t xml:space="preserve"> business</w:t>
      </w:r>
      <w:r w:rsidR="001B56F7">
        <w:rPr>
          <w:rFonts w:ascii="Times New Roman" w:hAnsi="Times New Roman" w:cs="Times New Roman"/>
          <w:sz w:val="24"/>
          <w:szCs w:val="24"/>
        </w:rPr>
        <w:t>’s website</w:t>
      </w:r>
      <w:r w:rsidR="00612C5D">
        <w:rPr>
          <w:rFonts w:ascii="Times New Roman" w:hAnsi="Times New Roman" w:cs="Times New Roman"/>
          <w:sz w:val="24"/>
          <w:szCs w:val="24"/>
        </w:rPr>
        <w:t xml:space="preserve"> </w:t>
      </w:r>
      <w:r w:rsidR="0062158E" w:rsidRPr="00D14A36">
        <w:rPr>
          <w:rFonts w:ascii="Times New Roman" w:hAnsi="Times New Roman" w:cs="Times New Roman"/>
          <w:sz w:val="24"/>
          <w:szCs w:val="24"/>
        </w:rPr>
        <w:t xml:space="preserve">for their own purposes to target ads, marketing or other purposes that are not directly related to the intended, contracted </w:t>
      </w:r>
      <w:r w:rsidR="00612C5D">
        <w:rPr>
          <w:rFonts w:ascii="Times New Roman" w:hAnsi="Times New Roman" w:cs="Times New Roman"/>
          <w:sz w:val="24"/>
          <w:szCs w:val="24"/>
        </w:rPr>
        <w:t xml:space="preserve">testing services </w:t>
      </w:r>
      <w:r w:rsidR="0062158E" w:rsidRPr="00D14A36">
        <w:rPr>
          <w:rFonts w:ascii="Times New Roman" w:hAnsi="Times New Roman" w:cs="Times New Roman"/>
          <w:sz w:val="24"/>
          <w:szCs w:val="24"/>
        </w:rPr>
        <w:t>purpose.</w:t>
      </w:r>
    </w:p>
    <w:p w14:paraId="6D33460C" w14:textId="77777777" w:rsidR="001421D7" w:rsidRPr="0067092A" w:rsidRDefault="008A6F6D" w:rsidP="0067092A">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Section </w:t>
      </w:r>
      <w:r w:rsidR="00285391" w:rsidRPr="001421D7">
        <w:rPr>
          <w:rFonts w:ascii="Times New Roman" w:hAnsi="Times New Roman" w:cs="Times New Roman"/>
          <w:b/>
          <w:bCs/>
          <w:sz w:val="24"/>
          <w:szCs w:val="24"/>
        </w:rPr>
        <w:t>7304. Agency Audits</w:t>
      </w:r>
      <w:r w:rsidR="00285391" w:rsidRPr="003F7141">
        <w:rPr>
          <w:rFonts w:ascii="Times New Roman" w:hAnsi="Times New Roman" w:cs="Times New Roman"/>
          <w:sz w:val="24"/>
          <w:szCs w:val="24"/>
        </w:rPr>
        <w:t xml:space="preserve">. </w:t>
      </w:r>
    </w:p>
    <w:p w14:paraId="6BF058F6" w14:textId="19CC47E3" w:rsidR="006B38E4" w:rsidRPr="00940DBC" w:rsidRDefault="00362DF1" w:rsidP="00302AD9">
      <w:pPr>
        <w:ind w:firstLine="450"/>
        <w:rPr>
          <w:rFonts w:ascii="Times New Roman" w:hAnsi="Times New Roman" w:cs="Times New Roman"/>
          <w:sz w:val="24"/>
          <w:szCs w:val="24"/>
        </w:rPr>
      </w:pPr>
      <w:r>
        <w:rPr>
          <w:rFonts w:ascii="Times New Roman" w:hAnsi="Times New Roman" w:cs="Times New Roman"/>
          <w:sz w:val="24"/>
          <w:szCs w:val="24"/>
        </w:rPr>
        <w:t xml:space="preserve">The ATP urges the Agency to limit </w:t>
      </w:r>
      <w:r w:rsidR="001421D7">
        <w:rPr>
          <w:rFonts w:ascii="Times New Roman" w:hAnsi="Times New Roman" w:cs="Times New Roman"/>
          <w:sz w:val="24"/>
          <w:szCs w:val="24"/>
        </w:rPr>
        <w:t xml:space="preserve">its </w:t>
      </w:r>
      <w:r>
        <w:rPr>
          <w:rFonts w:ascii="Times New Roman" w:hAnsi="Times New Roman" w:cs="Times New Roman"/>
          <w:sz w:val="24"/>
          <w:szCs w:val="24"/>
        </w:rPr>
        <w:t xml:space="preserve">auditing power </w:t>
      </w:r>
      <w:r w:rsidR="008073AC">
        <w:rPr>
          <w:rFonts w:ascii="Times New Roman" w:hAnsi="Times New Roman" w:cs="Times New Roman"/>
          <w:sz w:val="24"/>
          <w:szCs w:val="24"/>
        </w:rPr>
        <w:t>by providing</w:t>
      </w:r>
      <w:r>
        <w:rPr>
          <w:rFonts w:ascii="Times New Roman" w:hAnsi="Times New Roman" w:cs="Times New Roman"/>
          <w:sz w:val="24"/>
          <w:szCs w:val="24"/>
        </w:rPr>
        <w:t xml:space="preserve"> more objective criteria so businesses understand the requirements and can prepare for such audits.</w:t>
      </w:r>
      <w:r w:rsidR="0051009C">
        <w:rPr>
          <w:rFonts w:ascii="Times New Roman" w:hAnsi="Times New Roman" w:cs="Times New Roman"/>
          <w:sz w:val="24"/>
          <w:szCs w:val="24"/>
        </w:rPr>
        <w:t xml:space="preserve"> The majority of ATP members take their compliance with the CCPA very seriously and they will need to understand whe</w:t>
      </w:r>
      <w:r w:rsidR="007527CE">
        <w:rPr>
          <w:rFonts w:ascii="Times New Roman" w:hAnsi="Times New Roman" w:cs="Times New Roman"/>
          <w:sz w:val="24"/>
          <w:szCs w:val="24"/>
        </w:rPr>
        <w:t>n the Agency can conduct an audit and what records or systems will be audited with more specificity.</w:t>
      </w:r>
      <w:r w:rsidR="008D4D50" w:rsidRPr="008D4D50">
        <w:rPr>
          <w:rFonts w:ascii="Times New Roman" w:hAnsi="Times New Roman" w:cs="Times New Roman"/>
          <w:sz w:val="24"/>
          <w:szCs w:val="24"/>
        </w:rPr>
        <w:t xml:space="preserve"> </w:t>
      </w:r>
      <w:r w:rsidR="0046240E">
        <w:rPr>
          <w:rFonts w:ascii="Times New Roman" w:hAnsi="Times New Roman" w:cs="Times New Roman"/>
          <w:sz w:val="24"/>
          <w:szCs w:val="24"/>
        </w:rPr>
        <w:t xml:space="preserve">  </w:t>
      </w:r>
      <w:r w:rsidR="0078531B">
        <w:rPr>
          <w:rFonts w:ascii="Times New Roman" w:hAnsi="Times New Roman" w:cs="Times New Roman"/>
          <w:sz w:val="24"/>
          <w:szCs w:val="24"/>
        </w:rPr>
        <w:t xml:space="preserve">Such information will </w:t>
      </w:r>
      <w:r w:rsidR="00D50107">
        <w:rPr>
          <w:rFonts w:ascii="Times New Roman" w:hAnsi="Times New Roman" w:cs="Times New Roman"/>
          <w:sz w:val="24"/>
          <w:szCs w:val="24"/>
        </w:rPr>
        <w:t xml:space="preserve">enable </w:t>
      </w:r>
      <w:r w:rsidR="0078531B">
        <w:rPr>
          <w:rFonts w:ascii="Times New Roman" w:hAnsi="Times New Roman" w:cs="Times New Roman"/>
          <w:sz w:val="24"/>
          <w:szCs w:val="24"/>
        </w:rPr>
        <w:t xml:space="preserve">businesses to have </w:t>
      </w:r>
      <w:r w:rsidR="006A4619">
        <w:rPr>
          <w:rFonts w:ascii="Times New Roman" w:hAnsi="Times New Roman" w:cs="Times New Roman"/>
          <w:sz w:val="24"/>
          <w:szCs w:val="24"/>
        </w:rPr>
        <w:t xml:space="preserve">the proper personnel on site to comply with the audit requests, and to respond to questions in a </w:t>
      </w:r>
      <w:r w:rsidR="00B7560D">
        <w:rPr>
          <w:rFonts w:ascii="Times New Roman" w:hAnsi="Times New Roman" w:cs="Times New Roman"/>
          <w:sz w:val="24"/>
          <w:szCs w:val="24"/>
        </w:rPr>
        <w:t>cooperative</w:t>
      </w:r>
      <w:r w:rsidR="006A4619">
        <w:rPr>
          <w:rFonts w:ascii="Times New Roman" w:hAnsi="Times New Roman" w:cs="Times New Roman"/>
          <w:sz w:val="24"/>
          <w:szCs w:val="24"/>
        </w:rPr>
        <w:t xml:space="preserve"> manner. </w:t>
      </w:r>
      <w:r w:rsidR="0046240E">
        <w:rPr>
          <w:rFonts w:ascii="Times New Roman" w:hAnsi="Times New Roman" w:cs="Times New Roman"/>
          <w:sz w:val="24"/>
          <w:szCs w:val="24"/>
        </w:rPr>
        <w:t xml:space="preserve">For example, the ATP </w:t>
      </w:r>
      <w:r w:rsidR="0067092A">
        <w:rPr>
          <w:rFonts w:ascii="Times New Roman" w:hAnsi="Times New Roman" w:cs="Times New Roman"/>
          <w:sz w:val="24"/>
          <w:szCs w:val="24"/>
        </w:rPr>
        <w:t>submits that</w:t>
      </w:r>
      <w:r w:rsidR="0046240E">
        <w:rPr>
          <w:rFonts w:ascii="Times New Roman" w:hAnsi="Times New Roman" w:cs="Times New Roman"/>
          <w:sz w:val="24"/>
          <w:szCs w:val="24"/>
        </w:rPr>
        <w:t xml:space="preserve"> the Agency </w:t>
      </w:r>
      <w:r w:rsidR="0067092A">
        <w:rPr>
          <w:rFonts w:ascii="Times New Roman" w:hAnsi="Times New Roman" w:cs="Times New Roman"/>
          <w:sz w:val="24"/>
          <w:szCs w:val="24"/>
        </w:rPr>
        <w:t>should</w:t>
      </w:r>
      <w:r w:rsidR="0046240E">
        <w:rPr>
          <w:rFonts w:ascii="Times New Roman" w:hAnsi="Times New Roman" w:cs="Times New Roman"/>
          <w:sz w:val="24"/>
          <w:szCs w:val="24"/>
        </w:rPr>
        <w:t xml:space="preserve"> </w:t>
      </w:r>
      <w:r w:rsidR="00590815">
        <w:rPr>
          <w:rFonts w:ascii="Times New Roman" w:hAnsi="Times New Roman" w:cs="Times New Roman"/>
          <w:sz w:val="24"/>
          <w:szCs w:val="24"/>
        </w:rPr>
        <w:t>adopt audit guidelines that give</w:t>
      </w:r>
      <w:r w:rsidR="008D4D50">
        <w:rPr>
          <w:rFonts w:ascii="Times New Roman" w:hAnsi="Times New Roman" w:cs="Times New Roman"/>
          <w:sz w:val="24"/>
          <w:szCs w:val="24"/>
        </w:rPr>
        <w:t xml:space="preserve"> businesses advance notice </w:t>
      </w:r>
      <w:r w:rsidR="00590815">
        <w:rPr>
          <w:rFonts w:ascii="Times New Roman" w:hAnsi="Times New Roman" w:cs="Times New Roman"/>
          <w:sz w:val="24"/>
          <w:szCs w:val="24"/>
        </w:rPr>
        <w:t xml:space="preserve">of an audit, </w:t>
      </w:r>
      <w:r w:rsidR="008D4D50">
        <w:rPr>
          <w:rFonts w:ascii="Times New Roman" w:hAnsi="Times New Roman" w:cs="Times New Roman"/>
          <w:sz w:val="24"/>
          <w:szCs w:val="24"/>
        </w:rPr>
        <w:t xml:space="preserve">except in the most egregious situations. Moreover, audits should only occur when there is strong evidence of noncompliant activities and should not be based </w:t>
      </w:r>
      <w:r w:rsidR="00590815">
        <w:rPr>
          <w:rFonts w:ascii="Times New Roman" w:hAnsi="Times New Roman" w:cs="Times New Roman"/>
          <w:sz w:val="24"/>
          <w:szCs w:val="24"/>
        </w:rPr>
        <w:t xml:space="preserve">solely </w:t>
      </w:r>
      <w:r w:rsidR="008D4D50">
        <w:rPr>
          <w:rFonts w:ascii="Times New Roman" w:hAnsi="Times New Roman" w:cs="Times New Roman"/>
          <w:sz w:val="24"/>
          <w:szCs w:val="24"/>
        </w:rPr>
        <w:t xml:space="preserve">on consumer complaints. </w:t>
      </w:r>
      <w:r w:rsidR="00951133">
        <w:rPr>
          <w:rFonts w:ascii="Times New Roman" w:hAnsi="Times New Roman" w:cs="Times New Roman"/>
          <w:sz w:val="24"/>
          <w:szCs w:val="24"/>
        </w:rPr>
        <w:t xml:space="preserve"> </w:t>
      </w:r>
    </w:p>
    <w:p w14:paraId="3F100B1E" w14:textId="77777777" w:rsidR="0064292B" w:rsidRPr="0064292B" w:rsidRDefault="00606FE8" w:rsidP="00606FE8">
      <w:pPr>
        <w:rPr>
          <w:rFonts w:ascii="Times New Roman" w:hAnsi="Times New Roman" w:cs="Times New Roman"/>
          <w:b/>
          <w:sz w:val="28"/>
          <w:szCs w:val="28"/>
          <w:u w:val="single"/>
        </w:rPr>
      </w:pPr>
      <w:r w:rsidRPr="00DD7C9E">
        <w:rPr>
          <w:rFonts w:ascii="Times New Roman" w:hAnsi="Times New Roman" w:cs="Times New Roman"/>
          <w:b/>
          <w:sz w:val="28"/>
          <w:szCs w:val="28"/>
          <w:u w:val="single"/>
        </w:rPr>
        <w:t>CONCLUSION</w:t>
      </w:r>
    </w:p>
    <w:p w14:paraId="5D40D7C6" w14:textId="4A32ED65" w:rsidR="003A5111" w:rsidRDefault="00606FE8" w:rsidP="003A5111">
      <w:pPr>
        <w:ind w:firstLine="720"/>
        <w:rPr>
          <w:rFonts w:ascii="Times New Roman" w:hAnsi="Times New Roman" w:cs="Times New Roman"/>
          <w:sz w:val="24"/>
          <w:szCs w:val="24"/>
        </w:rPr>
      </w:pPr>
      <w:r>
        <w:rPr>
          <w:rFonts w:ascii="Times New Roman" w:hAnsi="Times New Roman" w:cs="Times New Roman"/>
          <w:sz w:val="24"/>
          <w:szCs w:val="24"/>
        </w:rPr>
        <w:t xml:space="preserve">On behalf of the international testing </w:t>
      </w:r>
      <w:r w:rsidR="006B38E4">
        <w:rPr>
          <w:rFonts w:ascii="Times New Roman" w:hAnsi="Times New Roman" w:cs="Times New Roman"/>
          <w:sz w:val="24"/>
          <w:szCs w:val="24"/>
        </w:rPr>
        <w:t xml:space="preserve">and learning </w:t>
      </w:r>
      <w:r>
        <w:rPr>
          <w:rFonts w:ascii="Times New Roman" w:hAnsi="Times New Roman" w:cs="Times New Roman"/>
          <w:sz w:val="24"/>
          <w:szCs w:val="24"/>
        </w:rPr>
        <w:t>industry, the ATP has provided comments on the Proposed Regulations for imple</w:t>
      </w:r>
      <w:r w:rsidR="00C8616D">
        <w:rPr>
          <w:rFonts w:ascii="Times New Roman" w:hAnsi="Times New Roman" w:cs="Times New Roman"/>
          <w:sz w:val="24"/>
          <w:szCs w:val="24"/>
        </w:rPr>
        <w:t>menting the</w:t>
      </w:r>
      <w:r w:rsidR="0064292B">
        <w:rPr>
          <w:rFonts w:ascii="Times New Roman" w:hAnsi="Times New Roman" w:cs="Times New Roman"/>
          <w:sz w:val="24"/>
          <w:szCs w:val="24"/>
        </w:rPr>
        <w:t xml:space="preserve"> C</w:t>
      </w:r>
      <w:r w:rsidR="00D429A7">
        <w:rPr>
          <w:rFonts w:ascii="Times New Roman" w:hAnsi="Times New Roman" w:cs="Times New Roman"/>
          <w:sz w:val="24"/>
          <w:szCs w:val="24"/>
        </w:rPr>
        <w:t>PRA</w:t>
      </w:r>
      <w:r w:rsidR="0064292B">
        <w:rPr>
          <w:rFonts w:ascii="Times New Roman" w:hAnsi="Times New Roman" w:cs="Times New Roman"/>
          <w:sz w:val="24"/>
          <w:szCs w:val="24"/>
        </w:rPr>
        <w:t xml:space="preserve">. We have </w:t>
      </w:r>
      <w:r w:rsidR="00B72013">
        <w:rPr>
          <w:rFonts w:ascii="Times New Roman" w:hAnsi="Times New Roman" w:cs="Times New Roman"/>
          <w:sz w:val="24"/>
          <w:szCs w:val="24"/>
        </w:rPr>
        <w:t>focused on</w:t>
      </w:r>
      <w:r w:rsidR="0064292B">
        <w:rPr>
          <w:rFonts w:ascii="Times New Roman" w:hAnsi="Times New Roman" w:cs="Times New Roman"/>
          <w:sz w:val="24"/>
          <w:szCs w:val="24"/>
        </w:rPr>
        <w:t xml:space="preserve"> a </w:t>
      </w:r>
      <w:r w:rsidR="002874D4">
        <w:rPr>
          <w:rFonts w:ascii="Times New Roman" w:hAnsi="Times New Roman" w:cs="Times New Roman"/>
          <w:sz w:val="24"/>
          <w:szCs w:val="24"/>
        </w:rPr>
        <w:t>variety of</w:t>
      </w:r>
      <w:r w:rsidR="0064292B">
        <w:rPr>
          <w:rFonts w:ascii="Times New Roman" w:hAnsi="Times New Roman" w:cs="Times New Roman"/>
          <w:sz w:val="24"/>
          <w:szCs w:val="24"/>
        </w:rPr>
        <w:t xml:space="preserve"> unique circumstances that are common in the </w:t>
      </w:r>
      <w:r w:rsidR="002874D4">
        <w:rPr>
          <w:rFonts w:ascii="Times New Roman" w:hAnsi="Times New Roman" w:cs="Times New Roman"/>
          <w:sz w:val="24"/>
          <w:szCs w:val="24"/>
        </w:rPr>
        <w:t>assessment</w:t>
      </w:r>
      <w:r w:rsidR="0064292B">
        <w:rPr>
          <w:rFonts w:ascii="Times New Roman" w:hAnsi="Times New Roman" w:cs="Times New Roman"/>
          <w:sz w:val="24"/>
          <w:szCs w:val="24"/>
        </w:rPr>
        <w:t xml:space="preserve"> industry</w:t>
      </w:r>
      <w:r w:rsidR="002874D4">
        <w:rPr>
          <w:rFonts w:ascii="Times New Roman" w:hAnsi="Times New Roman" w:cs="Times New Roman"/>
          <w:sz w:val="24"/>
          <w:szCs w:val="24"/>
        </w:rPr>
        <w:t xml:space="preserve"> </w:t>
      </w:r>
      <w:r w:rsidR="00B72013">
        <w:rPr>
          <w:rFonts w:ascii="Times New Roman" w:hAnsi="Times New Roman" w:cs="Times New Roman"/>
          <w:sz w:val="24"/>
          <w:szCs w:val="24"/>
        </w:rPr>
        <w:t>which</w:t>
      </w:r>
      <w:r w:rsidR="002874D4">
        <w:rPr>
          <w:rFonts w:ascii="Times New Roman" w:hAnsi="Times New Roman" w:cs="Times New Roman"/>
          <w:sz w:val="24"/>
          <w:szCs w:val="24"/>
        </w:rPr>
        <w:t xml:space="preserve"> </w:t>
      </w:r>
      <w:r w:rsidR="00B72013">
        <w:rPr>
          <w:rFonts w:ascii="Times New Roman" w:hAnsi="Times New Roman" w:cs="Times New Roman"/>
          <w:sz w:val="24"/>
          <w:szCs w:val="24"/>
        </w:rPr>
        <w:t>should</w:t>
      </w:r>
      <w:r w:rsidR="002874D4">
        <w:rPr>
          <w:rFonts w:ascii="Times New Roman" w:hAnsi="Times New Roman" w:cs="Times New Roman"/>
          <w:sz w:val="24"/>
          <w:szCs w:val="24"/>
        </w:rPr>
        <w:t xml:space="preserve"> be</w:t>
      </w:r>
      <w:r w:rsidR="001A7221">
        <w:rPr>
          <w:rFonts w:ascii="Times New Roman" w:hAnsi="Times New Roman" w:cs="Times New Roman"/>
          <w:sz w:val="24"/>
          <w:szCs w:val="24"/>
        </w:rPr>
        <w:t xml:space="preserve"> </w:t>
      </w:r>
      <w:r w:rsidR="000D42A9">
        <w:rPr>
          <w:rFonts w:ascii="Times New Roman" w:hAnsi="Times New Roman" w:cs="Times New Roman"/>
          <w:sz w:val="24"/>
          <w:szCs w:val="24"/>
        </w:rPr>
        <w:t>considered</w:t>
      </w:r>
      <w:r w:rsidR="002874D4">
        <w:rPr>
          <w:rFonts w:ascii="Times New Roman" w:hAnsi="Times New Roman" w:cs="Times New Roman"/>
          <w:sz w:val="24"/>
          <w:szCs w:val="24"/>
        </w:rPr>
        <w:t xml:space="preserve"> by the Agency</w:t>
      </w:r>
      <w:r w:rsidR="0064292B">
        <w:rPr>
          <w:rFonts w:ascii="Times New Roman" w:hAnsi="Times New Roman" w:cs="Times New Roman"/>
          <w:sz w:val="24"/>
          <w:szCs w:val="24"/>
        </w:rPr>
        <w:t xml:space="preserve">. </w:t>
      </w:r>
      <w:r w:rsidR="002874D4">
        <w:rPr>
          <w:rFonts w:ascii="Times New Roman" w:hAnsi="Times New Roman" w:cs="Times New Roman"/>
          <w:sz w:val="24"/>
          <w:szCs w:val="24"/>
        </w:rPr>
        <w:t xml:space="preserve">Additionally, we note </w:t>
      </w:r>
      <w:r w:rsidR="0064292B">
        <w:rPr>
          <w:rFonts w:ascii="Times New Roman" w:hAnsi="Times New Roman" w:cs="Times New Roman"/>
          <w:sz w:val="24"/>
          <w:szCs w:val="24"/>
        </w:rPr>
        <w:t>that many testing organizations are smaller/medium-sized businesses</w:t>
      </w:r>
      <w:r w:rsidR="003A5111">
        <w:rPr>
          <w:rFonts w:ascii="Times New Roman" w:hAnsi="Times New Roman" w:cs="Times New Roman"/>
          <w:sz w:val="24"/>
          <w:szCs w:val="24"/>
        </w:rPr>
        <w:t xml:space="preserve"> that would be compelled to comply with more complex, onerous requirements</w:t>
      </w:r>
      <w:r w:rsidR="0064292B">
        <w:rPr>
          <w:rFonts w:ascii="Times New Roman" w:hAnsi="Times New Roman" w:cs="Times New Roman"/>
          <w:sz w:val="24"/>
          <w:szCs w:val="24"/>
        </w:rPr>
        <w:t xml:space="preserve">. Together, we believe these reasons justify modification of the Proposed Regulations when balanced against the rights of individual test takers as consumers.  </w:t>
      </w:r>
    </w:p>
    <w:p w14:paraId="1BA2A56B" w14:textId="1ECA2A37" w:rsidR="003A5111" w:rsidRDefault="003A5111" w:rsidP="003A5111">
      <w:pPr>
        <w:ind w:firstLine="720"/>
        <w:rPr>
          <w:rFonts w:ascii="Times New Roman" w:hAnsi="Times New Roman" w:cs="Times New Roman"/>
          <w:sz w:val="24"/>
          <w:szCs w:val="24"/>
        </w:rPr>
      </w:pPr>
      <w:r>
        <w:rPr>
          <w:rFonts w:ascii="Times New Roman" w:hAnsi="Times New Roman" w:cs="Times New Roman"/>
          <w:sz w:val="24"/>
          <w:szCs w:val="24"/>
        </w:rPr>
        <w:t xml:space="preserve">In summary, our recommendations center on providing a more practical, flexible approach for these Proposed Regulations, taking into consideration specific </w:t>
      </w:r>
      <w:r w:rsidR="00301004">
        <w:rPr>
          <w:rFonts w:ascii="Times New Roman" w:hAnsi="Times New Roman" w:cs="Times New Roman"/>
          <w:sz w:val="24"/>
          <w:szCs w:val="24"/>
        </w:rPr>
        <w:t>circumstances</w:t>
      </w:r>
      <w:r>
        <w:rPr>
          <w:rFonts w:ascii="Times New Roman" w:hAnsi="Times New Roman" w:cs="Times New Roman"/>
          <w:sz w:val="24"/>
          <w:szCs w:val="24"/>
        </w:rPr>
        <w:t xml:space="preserve"> of testing organizations.  These include</w:t>
      </w:r>
      <w:r w:rsidR="00301004">
        <w:rPr>
          <w:rFonts w:ascii="Times New Roman" w:hAnsi="Times New Roman" w:cs="Times New Roman"/>
          <w:sz w:val="24"/>
          <w:szCs w:val="24"/>
        </w:rPr>
        <w:t>:</w:t>
      </w:r>
      <w:r>
        <w:rPr>
          <w:rFonts w:ascii="Times New Roman" w:hAnsi="Times New Roman" w:cs="Times New Roman"/>
          <w:sz w:val="24"/>
          <w:szCs w:val="24"/>
        </w:rPr>
        <w:t xml:space="preserve"> </w:t>
      </w:r>
      <w:r w:rsidR="00301004">
        <w:rPr>
          <w:rFonts w:ascii="Times New Roman" w:hAnsi="Times New Roman" w:cs="Times New Roman"/>
          <w:sz w:val="24"/>
          <w:szCs w:val="24"/>
        </w:rPr>
        <w:t xml:space="preserve">(1) </w:t>
      </w:r>
      <w:r>
        <w:rPr>
          <w:rFonts w:ascii="Times New Roman" w:hAnsi="Times New Roman" w:cs="Times New Roman"/>
          <w:sz w:val="24"/>
          <w:szCs w:val="24"/>
        </w:rPr>
        <w:t xml:space="preserve">recommendations that requirements for authorized agents and third parties </w:t>
      </w:r>
      <w:r w:rsidR="00301004">
        <w:rPr>
          <w:rFonts w:ascii="Times New Roman" w:hAnsi="Times New Roman" w:cs="Times New Roman"/>
          <w:sz w:val="24"/>
          <w:szCs w:val="24"/>
        </w:rPr>
        <w:t>should be</w:t>
      </w:r>
      <w:r>
        <w:rPr>
          <w:rFonts w:ascii="Times New Roman" w:hAnsi="Times New Roman" w:cs="Times New Roman"/>
          <w:sz w:val="24"/>
          <w:szCs w:val="24"/>
        </w:rPr>
        <w:t xml:space="preserve"> expanded and businesses are not themselves compelled to ensure third party compliance</w:t>
      </w:r>
      <w:r w:rsidR="00301004">
        <w:rPr>
          <w:rFonts w:ascii="Times New Roman" w:hAnsi="Times New Roman" w:cs="Times New Roman"/>
          <w:sz w:val="24"/>
          <w:szCs w:val="24"/>
        </w:rPr>
        <w:t xml:space="preserve"> other than through contractual language</w:t>
      </w:r>
      <w:r>
        <w:rPr>
          <w:rFonts w:ascii="Times New Roman" w:hAnsi="Times New Roman" w:cs="Times New Roman"/>
          <w:sz w:val="24"/>
          <w:szCs w:val="24"/>
        </w:rPr>
        <w:t xml:space="preserve">; </w:t>
      </w:r>
      <w:r w:rsidR="00301004">
        <w:rPr>
          <w:rFonts w:ascii="Times New Roman" w:hAnsi="Times New Roman" w:cs="Times New Roman"/>
          <w:sz w:val="24"/>
          <w:szCs w:val="24"/>
        </w:rPr>
        <w:t xml:space="preserve">(2) </w:t>
      </w:r>
      <w:r>
        <w:rPr>
          <w:rFonts w:ascii="Times New Roman" w:hAnsi="Times New Roman" w:cs="Times New Roman"/>
          <w:sz w:val="24"/>
          <w:szCs w:val="24"/>
        </w:rPr>
        <w:t xml:space="preserve">a more practical approaches avoiding burdensome, repetitive requirements, including more flexibility </w:t>
      </w:r>
      <w:r w:rsidR="00301004">
        <w:rPr>
          <w:rFonts w:ascii="Times New Roman" w:hAnsi="Times New Roman" w:cs="Times New Roman"/>
          <w:sz w:val="24"/>
          <w:szCs w:val="24"/>
        </w:rPr>
        <w:t xml:space="preserve">for covered businesses </w:t>
      </w:r>
      <w:r>
        <w:rPr>
          <w:rFonts w:ascii="Times New Roman" w:hAnsi="Times New Roman" w:cs="Times New Roman"/>
          <w:sz w:val="24"/>
          <w:szCs w:val="24"/>
        </w:rPr>
        <w:t xml:space="preserve">to </w:t>
      </w:r>
      <w:r w:rsidR="00301004">
        <w:rPr>
          <w:rFonts w:ascii="Times New Roman" w:hAnsi="Times New Roman" w:cs="Times New Roman"/>
          <w:sz w:val="24"/>
          <w:szCs w:val="24"/>
        </w:rPr>
        <w:t>document the</w:t>
      </w:r>
      <w:r>
        <w:rPr>
          <w:rFonts w:ascii="Times New Roman" w:hAnsi="Times New Roman" w:cs="Times New Roman"/>
          <w:sz w:val="24"/>
          <w:szCs w:val="24"/>
        </w:rPr>
        <w:t xml:space="preserve"> effort and due diligence of services providers and third parties</w:t>
      </w:r>
      <w:r w:rsidR="00301004">
        <w:rPr>
          <w:rFonts w:ascii="Times New Roman" w:hAnsi="Times New Roman" w:cs="Times New Roman"/>
          <w:sz w:val="24"/>
          <w:szCs w:val="24"/>
        </w:rPr>
        <w:t>;</w:t>
      </w:r>
      <w:r>
        <w:rPr>
          <w:rFonts w:ascii="Times New Roman" w:hAnsi="Times New Roman" w:cs="Times New Roman"/>
          <w:sz w:val="24"/>
          <w:szCs w:val="24"/>
        </w:rPr>
        <w:t xml:space="preserve"> </w:t>
      </w:r>
      <w:r w:rsidR="00301004">
        <w:rPr>
          <w:rFonts w:ascii="Times New Roman" w:hAnsi="Times New Roman" w:cs="Times New Roman"/>
          <w:sz w:val="24"/>
          <w:szCs w:val="24"/>
        </w:rPr>
        <w:t xml:space="preserve">(3) </w:t>
      </w:r>
      <w:r>
        <w:rPr>
          <w:rFonts w:ascii="Times New Roman" w:hAnsi="Times New Roman" w:cs="Times New Roman"/>
          <w:sz w:val="24"/>
          <w:szCs w:val="24"/>
        </w:rPr>
        <w:t>modifying the definition of financial incentives that reflect legitimate prices differences</w:t>
      </w:r>
      <w:r w:rsidR="00301004">
        <w:rPr>
          <w:rFonts w:ascii="Times New Roman" w:hAnsi="Times New Roman" w:cs="Times New Roman"/>
          <w:sz w:val="24"/>
          <w:szCs w:val="24"/>
        </w:rPr>
        <w:t>;</w:t>
      </w:r>
      <w:r>
        <w:rPr>
          <w:rFonts w:ascii="Times New Roman" w:hAnsi="Times New Roman" w:cs="Times New Roman"/>
          <w:sz w:val="24"/>
          <w:szCs w:val="24"/>
        </w:rPr>
        <w:t xml:space="preserve"> </w:t>
      </w:r>
      <w:r w:rsidR="00301004">
        <w:rPr>
          <w:rFonts w:ascii="Times New Roman" w:hAnsi="Times New Roman" w:cs="Times New Roman"/>
          <w:sz w:val="24"/>
          <w:szCs w:val="24"/>
        </w:rPr>
        <w:t xml:space="preserve">(4) </w:t>
      </w:r>
      <w:r>
        <w:rPr>
          <w:rFonts w:ascii="Times New Roman" w:hAnsi="Times New Roman" w:cs="Times New Roman"/>
          <w:sz w:val="24"/>
          <w:szCs w:val="24"/>
        </w:rPr>
        <w:t>greater focus on the actual businesses that control the processing of personal information instead of a first party definitional approach</w:t>
      </w:r>
      <w:r w:rsidR="00301004">
        <w:rPr>
          <w:rFonts w:ascii="Times New Roman" w:hAnsi="Times New Roman" w:cs="Times New Roman"/>
          <w:sz w:val="24"/>
          <w:szCs w:val="24"/>
        </w:rPr>
        <w:t>;</w:t>
      </w:r>
      <w:r>
        <w:rPr>
          <w:rFonts w:ascii="Times New Roman" w:hAnsi="Times New Roman" w:cs="Times New Roman"/>
          <w:sz w:val="24"/>
          <w:szCs w:val="24"/>
        </w:rPr>
        <w:t xml:space="preserve"> </w:t>
      </w:r>
      <w:r w:rsidR="00301004">
        <w:rPr>
          <w:rFonts w:ascii="Times New Roman" w:hAnsi="Times New Roman" w:cs="Times New Roman"/>
          <w:sz w:val="24"/>
          <w:szCs w:val="24"/>
        </w:rPr>
        <w:t xml:space="preserve">(5) </w:t>
      </w:r>
      <w:r>
        <w:rPr>
          <w:rFonts w:ascii="Times New Roman" w:hAnsi="Times New Roman" w:cs="Times New Roman"/>
          <w:sz w:val="24"/>
          <w:szCs w:val="24"/>
        </w:rPr>
        <w:t>removal of unnecessary requirements related to explicit consent for new purposes, realistic requirements related to privacy policies and notices (for personal information and for sensitive personal information)</w:t>
      </w:r>
      <w:r w:rsidR="00301004">
        <w:rPr>
          <w:rFonts w:ascii="Times New Roman" w:hAnsi="Times New Roman" w:cs="Times New Roman"/>
          <w:sz w:val="24"/>
          <w:szCs w:val="24"/>
        </w:rPr>
        <w:t>;</w:t>
      </w:r>
      <w:r>
        <w:rPr>
          <w:rFonts w:ascii="Times New Roman" w:hAnsi="Times New Roman" w:cs="Times New Roman"/>
          <w:sz w:val="24"/>
          <w:szCs w:val="24"/>
        </w:rPr>
        <w:t xml:space="preserve"> </w:t>
      </w:r>
      <w:r w:rsidR="00301004">
        <w:rPr>
          <w:rFonts w:ascii="Times New Roman" w:hAnsi="Times New Roman" w:cs="Times New Roman"/>
          <w:sz w:val="24"/>
          <w:szCs w:val="24"/>
        </w:rPr>
        <w:t xml:space="preserve">(6) </w:t>
      </w:r>
      <w:r>
        <w:rPr>
          <w:rFonts w:ascii="Times New Roman" w:hAnsi="Times New Roman" w:cs="Times New Roman"/>
          <w:sz w:val="24"/>
          <w:szCs w:val="24"/>
        </w:rPr>
        <w:t xml:space="preserve">not allowing as non-rebuttable </w:t>
      </w:r>
      <w:r w:rsidR="00FE0590">
        <w:rPr>
          <w:rFonts w:ascii="Times New Roman" w:hAnsi="Times New Roman" w:cs="Times New Roman"/>
          <w:sz w:val="24"/>
          <w:szCs w:val="24"/>
        </w:rPr>
        <w:lastRenderedPageBreak/>
        <w:t xml:space="preserve">those </w:t>
      </w:r>
      <w:r>
        <w:rPr>
          <w:rFonts w:ascii="Times New Roman" w:hAnsi="Times New Roman" w:cs="Times New Roman"/>
          <w:sz w:val="24"/>
          <w:szCs w:val="24"/>
        </w:rPr>
        <w:t>consumer assertions and addendums related to their data</w:t>
      </w:r>
      <w:r w:rsidR="00FE0590">
        <w:rPr>
          <w:rFonts w:ascii="Times New Roman" w:hAnsi="Times New Roman" w:cs="Times New Roman"/>
          <w:sz w:val="24"/>
          <w:szCs w:val="24"/>
        </w:rPr>
        <w:t>;</w:t>
      </w:r>
      <w:r>
        <w:rPr>
          <w:rFonts w:ascii="Times New Roman" w:hAnsi="Times New Roman" w:cs="Times New Roman"/>
          <w:sz w:val="24"/>
          <w:szCs w:val="24"/>
        </w:rPr>
        <w:t xml:space="preserve"> and </w:t>
      </w:r>
      <w:r w:rsidR="00FE0590">
        <w:rPr>
          <w:rFonts w:ascii="Times New Roman" w:hAnsi="Times New Roman" w:cs="Times New Roman"/>
          <w:sz w:val="24"/>
          <w:szCs w:val="24"/>
        </w:rPr>
        <w:t xml:space="preserve">(7) </w:t>
      </w:r>
      <w:r>
        <w:rPr>
          <w:rFonts w:ascii="Times New Roman" w:hAnsi="Times New Roman" w:cs="Times New Roman"/>
          <w:sz w:val="24"/>
          <w:szCs w:val="24"/>
        </w:rPr>
        <w:t xml:space="preserve">not including premature requirements related to employee data. </w:t>
      </w:r>
      <w:r w:rsidR="00FE0590">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00FE0590">
        <w:rPr>
          <w:rFonts w:ascii="Times New Roman" w:hAnsi="Times New Roman" w:cs="Times New Roman"/>
          <w:sz w:val="24"/>
          <w:szCs w:val="24"/>
        </w:rPr>
        <w:t xml:space="preserve">the ATP contends that </w:t>
      </w:r>
      <w:r>
        <w:rPr>
          <w:rFonts w:ascii="Times New Roman" w:hAnsi="Times New Roman" w:cs="Times New Roman"/>
          <w:sz w:val="24"/>
          <w:szCs w:val="24"/>
        </w:rPr>
        <w:t>the Agency needs to remove practices that could result in the disclosure of personal information unnecessarily and that could lead to harm to consumers</w:t>
      </w:r>
      <w:r w:rsidR="00FE0590">
        <w:rPr>
          <w:rFonts w:ascii="Times New Roman" w:hAnsi="Times New Roman" w:cs="Times New Roman"/>
          <w:sz w:val="24"/>
          <w:szCs w:val="24"/>
        </w:rPr>
        <w:t>,</w:t>
      </w:r>
      <w:r>
        <w:rPr>
          <w:rFonts w:ascii="Times New Roman" w:hAnsi="Times New Roman" w:cs="Times New Roman"/>
          <w:sz w:val="24"/>
          <w:szCs w:val="24"/>
        </w:rPr>
        <w:t xml:space="preserve"> such as requiring that a </w:t>
      </w:r>
      <w:r w:rsidR="00FE0590">
        <w:rPr>
          <w:rFonts w:ascii="Times New Roman" w:hAnsi="Times New Roman" w:cs="Times New Roman"/>
          <w:sz w:val="24"/>
          <w:szCs w:val="24"/>
        </w:rPr>
        <w:t xml:space="preserve">covered </w:t>
      </w:r>
      <w:r>
        <w:rPr>
          <w:rFonts w:ascii="Times New Roman" w:hAnsi="Times New Roman" w:cs="Times New Roman"/>
          <w:sz w:val="24"/>
          <w:szCs w:val="24"/>
        </w:rPr>
        <w:t xml:space="preserve">business provide “all of the consumer’s personal information” to show what was corrected and further requiring going beyond 12 months for a “look back” period related to consumers’ information requests. </w:t>
      </w:r>
      <w:r w:rsidR="00FE0590">
        <w:rPr>
          <w:rFonts w:ascii="Times New Roman" w:hAnsi="Times New Roman" w:cs="Times New Roman"/>
          <w:sz w:val="24"/>
          <w:szCs w:val="24"/>
        </w:rPr>
        <w:t xml:space="preserve"> </w:t>
      </w:r>
      <w:r>
        <w:rPr>
          <w:rFonts w:ascii="Times New Roman" w:hAnsi="Times New Roman" w:cs="Times New Roman"/>
          <w:sz w:val="24"/>
          <w:szCs w:val="24"/>
        </w:rPr>
        <w:t xml:space="preserve">This and other requirements are contrary to well established privacy principles and are onerous requirements on </w:t>
      </w:r>
      <w:r w:rsidR="00FE0590">
        <w:rPr>
          <w:rFonts w:ascii="Times New Roman" w:hAnsi="Times New Roman" w:cs="Times New Roman"/>
          <w:sz w:val="24"/>
          <w:szCs w:val="24"/>
        </w:rPr>
        <w:t xml:space="preserve">smaller covered </w:t>
      </w:r>
      <w:r>
        <w:rPr>
          <w:rFonts w:ascii="Times New Roman" w:hAnsi="Times New Roman" w:cs="Times New Roman"/>
          <w:sz w:val="24"/>
          <w:szCs w:val="24"/>
        </w:rPr>
        <w:t>businesses. Furthermore, we recommend that the Agency limit its audits of</w:t>
      </w:r>
      <w:r w:rsidR="00FE0590">
        <w:rPr>
          <w:rFonts w:ascii="Times New Roman" w:hAnsi="Times New Roman" w:cs="Times New Roman"/>
          <w:sz w:val="24"/>
          <w:szCs w:val="24"/>
        </w:rPr>
        <w:t xml:space="preserve"> covered</w:t>
      </w:r>
      <w:r>
        <w:rPr>
          <w:rFonts w:ascii="Times New Roman" w:hAnsi="Times New Roman" w:cs="Times New Roman"/>
          <w:sz w:val="24"/>
          <w:szCs w:val="24"/>
        </w:rPr>
        <w:t xml:space="preserve"> businesses and provide more objective criteria for such audits to allow businesses</w:t>
      </w:r>
      <w:r w:rsidR="00FE0590">
        <w:rPr>
          <w:rFonts w:ascii="Times New Roman" w:hAnsi="Times New Roman" w:cs="Times New Roman"/>
          <w:sz w:val="24"/>
          <w:szCs w:val="24"/>
        </w:rPr>
        <w:t>, such as those</w:t>
      </w:r>
      <w:r>
        <w:rPr>
          <w:rFonts w:ascii="Times New Roman" w:hAnsi="Times New Roman" w:cs="Times New Roman"/>
          <w:sz w:val="24"/>
          <w:szCs w:val="24"/>
        </w:rPr>
        <w:t xml:space="preserve"> in the testing industry</w:t>
      </w:r>
      <w:r w:rsidR="00FE0590">
        <w:rPr>
          <w:rFonts w:ascii="Times New Roman" w:hAnsi="Times New Roman" w:cs="Times New Roman"/>
          <w:sz w:val="24"/>
          <w:szCs w:val="24"/>
        </w:rPr>
        <w:t>,</w:t>
      </w:r>
      <w:r>
        <w:rPr>
          <w:rFonts w:ascii="Times New Roman" w:hAnsi="Times New Roman" w:cs="Times New Roman"/>
          <w:sz w:val="24"/>
          <w:szCs w:val="24"/>
        </w:rPr>
        <w:t xml:space="preserve"> to continue their good faith efforts of compliance. </w:t>
      </w:r>
    </w:p>
    <w:p w14:paraId="49B0AF38" w14:textId="7E505F37" w:rsidR="003A5111" w:rsidRDefault="003A5111" w:rsidP="003A5111">
      <w:pPr>
        <w:ind w:firstLine="720"/>
        <w:rPr>
          <w:rFonts w:ascii="Times New Roman" w:hAnsi="Times New Roman" w:cs="Times New Roman"/>
          <w:sz w:val="24"/>
          <w:szCs w:val="24"/>
        </w:rPr>
      </w:pPr>
      <w:r>
        <w:rPr>
          <w:rFonts w:ascii="Times New Roman" w:hAnsi="Times New Roman" w:cs="Times New Roman"/>
          <w:sz w:val="24"/>
          <w:szCs w:val="24"/>
        </w:rPr>
        <w:t xml:space="preserve">We also recommend that the Agency provide more use cases to clarify the appropriate use of personal information by </w:t>
      </w:r>
      <w:r w:rsidR="00FE0590">
        <w:rPr>
          <w:rFonts w:ascii="Times New Roman" w:hAnsi="Times New Roman" w:cs="Times New Roman"/>
          <w:sz w:val="24"/>
          <w:szCs w:val="24"/>
        </w:rPr>
        <w:t xml:space="preserve">covered </w:t>
      </w:r>
      <w:r>
        <w:rPr>
          <w:rFonts w:ascii="Times New Roman" w:hAnsi="Times New Roman" w:cs="Times New Roman"/>
          <w:sz w:val="24"/>
          <w:szCs w:val="24"/>
        </w:rPr>
        <w:t>businesses, including</w:t>
      </w:r>
      <w:r w:rsidR="00FE0590">
        <w:rPr>
          <w:rFonts w:ascii="Times New Roman" w:hAnsi="Times New Roman" w:cs="Times New Roman"/>
          <w:sz w:val="24"/>
          <w:szCs w:val="24"/>
        </w:rPr>
        <w:t>: (1)</w:t>
      </w:r>
      <w:r>
        <w:rPr>
          <w:rFonts w:ascii="Times New Roman" w:hAnsi="Times New Roman" w:cs="Times New Roman"/>
          <w:sz w:val="24"/>
          <w:szCs w:val="24"/>
        </w:rPr>
        <w:t xml:space="preserve"> related to IP rights and the rejection of consumer requests; </w:t>
      </w:r>
      <w:r w:rsidR="00FE0590">
        <w:rPr>
          <w:rFonts w:ascii="Times New Roman" w:hAnsi="Times New Roman" w:cs="Times New Roman"/>
          <w:sz w:val="24"/>
          <w:szCs w:val="24"/>
        </w:rPr>
        <w:t xml:space="preserve">(2) </w:t>
      </w:r>
      <w:r>
        <w:rPr>
          <w:rFonts w:ascii="Times New Roman" w:hAnsi="Times New Roman" w:cs="Times New Roman"/>
          <w:sz w:val="24"/>
          <w:szCs w:val="24"/>
        </w:rPr>
        <w:t xml:space="preserve">showing how deidentification and archiving of data meets consumers’ deletion requests; </w:t>
      </w:r>
      <w:r w:rsidR="00FE0590">
        <w:rPr>
          <w:rFonts w:ascii="Times New Roman" w:hAnsi="Times New Roman" w:cs="Times New Roman"/>
          <w:sz w:val="24"/>
          <w:szCs w:val="24"/>
        </w:rPr>
        <w:t xml:space="preserve">(3) </w:t>
      </w:r>
      <w:r>
        <w:rPr>
          <w:rFonts w:ascii="Times New Roman" w:hAnsi="Times New Roman" w:cs="Times New Roman"/>
          <w:sz w:val="24"/>
          <w:szCs w:val="24"/>
        </w:rPr>
        <w:t xml:space="preserve">how the use of analytics and social media service providers for businesses’ analytics and customer services purposes falls under the service provider requirements and is exempt from the “opt out of sharing” notice requirements; and </w:t>
      </w:r>
      <w:r w:rsidR="00FE0590">
        <w:rPr>
          <w:rFonts w:ascii="Times New Roman" w:hAnsi="Times New Roman" w:cs="Times New Roman"/>
          <w:sz w:val="24"/>
          <w:szCs w:val="24"/>
        </w:rPr>
        <w:t xml:space="preserve">(4) </w:t>
      </w:r>
      <w:r>
        <w:rPr>
          <w:rFonts w:ascii="Times New Roman" w:hAnsi="Times New Roman" w:cs="Times New Roman"/>
          <w:sz w:val="24"/>
          <w:szCs w:val="24"/>
        </w:rPr>
        <w:t>add</w:t>
      </w:r>
      <w:r w:rsidR="00FE0590">
        <w:rPr>
          <w:rFonts w:ascii="Times New Roman" w:hAnsi="Times New Roman" w:cs="Times New Roman"/>
          <w:sz w:val="24"/>
          <w:szCs w:val="24"/>
        </w:rPr>
        <w:t>ing</w:t>
      </w:r>
      <w:r>
        <w:rPr>
          <w:rFonts w:ascii="Times New Roman" w:hAnsi="Times New Roman" w:cs="Times New Roman"/>
          <w:sz w:val="24"/>
          <w:szCs w:val="24"/>
        </w:rPr>
        <w:t xml:space="preserve"> more examples of service providers working with nonprofits </w:t>
      </w:r>
      <w:r w:rsidR="00FE0590">
        <w:rPr>
          <w:rFonts w:ascii="Times New Roman" w:hAnsi="Times New Roman" w:cs="Times New Roman"/>
          <w:sz w:val="24"/>
          <w:szCs w:val="24"/>
        </w:rPr>
        <w:t xml:space="preserve">and government agencies </w:t>
      </w:r>
      <w:r>
        <w:rPr>
          <w:rFonts w:ascii="Times New Roman" w:hAnsi="Times New Roman" w:cs="Times New Roman"/>
          <w:sz w:val="24"/>
          <w:szCs w:val="24"/>
        </w:rPr>
        <w:t xml:space="preserve">as being exempt from these requirements. </w:t>
      </w:r>
    </w:p>
    <w:p w14:paraId="6C61CC92" w14:textId="7EF1E629" w:rsidR="001A7221" w:rsidRDefault="001A7221" w:rsidP="003A5111">
      <w:pPr>
        <w:ind w:firstLine="720"/>
        <w:rPr>
          <w:rFonts w:ascii="Times New Roman" w:hAnsi="Times New Roman" w:cs="Times New Roman"/>
          <w:sz w:val="24"/>
          <w:szCs w:val="24"/>
        </w:rPr>
      </w:pPr>
    </w:p>
    <w:p w14:paraId="2117AD1B" w14:textId="2458A22D" w:rsidR="001A7221" w:rsidRDefault="001A7221" w:rsidP="003A5111">
      <w:pPr>
        <w:ind w:firstLine="720"/>
        <w:rPr>
          <w:rFonts w:ascii="Times New Roman" w:hAnsi="Times New Roman" w:cs="Times New Roman"/>
          <w:sz w:val="24"/>
          <w:szCs w:val="24"/>
        </w:rPr>
      </w:pPr>
    </w:p>
    <w:p w14:paraId="7752691E" w14:textId="2F979CC2" w:rsidR="001A7221" w:rsidRDefault="001A7221" w:rsidP="003A5111">
      <w:pPr>
        <w:ind w:firstLine="720"/>
        <w:rPr>
          <w:rFonts w:ascii="Times New Roman" w:hAnsi="Times New Roman" w:cs="Times New Roman"/>
          <w:sz w:val="24"/>
          <w:szCs w:val="24"/>
        </w:rPr>
      </w:pPr>
    </w:p>
    <w:p w14:paraId="666597DD" w14:textId="627FEDDF" w:rsidR="001A7221" w:rsidRDefault="001A7221" w:rsidP="003A5111">
      <w:pPr>
        <w:ind w:firstLine="720"/>
        <w:rPr>
          <w:rFonts w:ascii="Times New Roman" w:hAnsi="Times New Roman" w:cs="Times New Roman"/>
          <w:sz w:val="24"/>
          <w:szCs w:val="24"/>
        </w:rPr>
      </w:pPr>
    </w:p>
    <w:p w14:paraId="60D57620" w14:textId="78219BF6" w:rsidR="001A7221" w:rsidRDefault="001A7221" w:rsidP="003A5111">
      <w:pPr>
        <w:ind w:firstLine="720"/>
        <w:rPr>
          <w:rFonts w:ascii="Times New Roman" w:hAnsi="Times New Roman" w:cs="Times New Roman"/>
          <w:sz w:val="24"/>
          <w:szCs w:val="24"/>
        </w:rPr>
      </w:pPr>
    </w:p>
    <w:p w14:paraId="3C69339D" w14:textId="2AEDE2A1" w:rsidR="001A7221" w:rsidRDefault="001A7221" w:rsidP="003A5111">
      <w:pPr>
        <w:ind w:firstLine="720"/>
        <w:rPr>
          <w:rFonts w:ascii="Times New Roman" w:hAnsi="Times New Roman" w:cs="Times New Roman"/>
          <w:sz w:val="24"/>
          <w:szCs w:val="24"/>
        </w:rPr>
      </w:pPr>
    </w:p>
    <w:p w14:paraId="031C171B" w14:textId="67AF0766" w:rsidR="001A7221" w:rsidRDefault="001A7221" w:rsidP="003A5111">
      <w:pPr>
        <w:ind w:firstLine="720"/>
        <w:rPr>
          <w:rFonts w:ascii="Times New Roman" w:hAnsi="Times New Roman" w:cs="Times New Roman"/>
          <w:sz w:val="24"/>
          <w:szCs w:val="24"/>
        </w:rPr>
      </w:pPr>
    </w:p>
    <w:p w14:paraId="40BBD4C9" w14:textId="00DEEFC0" w:rsidR="001A7221" w:rsidRDefault="001A7221" w:rsidP="003A5111">
      <w:pPr>
        <w:ind w:firstLine="720"/>
        <w:rPr>
          <w:rFonts w:ascii="Times New Roman" w:hAnsi="Times New Roman" w:cs="Times New Roman"/>
          <w:sz w:val="24"/>
          <w:szCs w:val="24"/>
        </w:rPr>
      </w:pPr>
    </w:p>
    <w:p w14:paraId="03A04C3B" w14:textId="37991EBF" w:rsidR="001A7221" w:rsidRDefault="001A7221" w:rsidP="003A5111">
      <w:pPr>
        <w:ind w:firstLine="720"/>
        <w:rPr>
          <w:rFonts w:ascii="Times New Roman" w:hAnsi="Times New Roman" w:cs="Times New Roman"/>
          <w:sz w:val="24"/>
          <w:szCs w:val="24"/>
        </w:rPr>
      </w:pPr>
    </w:p>
    <w:p w14:paraId="083D43EA" w14:textId="316316EA" w:rsidR="001A7221" w:rsidRDefault="001A7221" w:rsidP="003A5111">
      <w:pPr>
        <w:ind w:firstLine="720"/>
        <w:rPr>
          <w:rFonts w:ascii="Times New Roman" w:hAnsi="Times New Roman" w:cs="Times New Roman"/>
          <w:sz w:val="24"/>
          <w:szCs w:val="24"/>
        </w:rPr>
      </w:pPr>
    </w:p>
    <w:p w14:paraId="4172DD9C" w14:textId="6EAC71E6" w:rsidR="001A7221" w:rsidRDefault="001A7221" w:rsidP="003A5111">
      <w:pPr>
        <w:ind w:firstLine="720"/>
        <w:rPr>
          <w:rFonts w:ascii="Times New Roman" w:hAnsi="Times New Roman" w:cs="Times New Roman"/>
          <w:sz w:val="24"/>
          <w:szCs w:val="24"/>
        </w:rPr>
      </w:pPr>
    </w:p>
    <w:p w14:paraId="689A88A7" w14:textId="77777777" w:rsidR="001A7221" w:rsidRDefault="001A7221" w:rsidP="003A5111">
      <w:pPr>
        <w:ind w:firstLine="720"/>
        <w:rPr>
          <w:rFonts w:ascii="Times New Roman" w:hAnsi="Times New Roman" w:cs="Times New Roman"/>
          <w:sz w:val="24"/>
          <w:szCs w:val="24"/>
        </w:rPr>
      </w:pPr>
    </w:p>
    <w:p w14:paraId="05D113E0" w14:textId="50C7067A" w:rsidR="00606FE8" w:rsidRPr="00D346AA" w:rsidRDefault="00606FE8" w:rsidP="00606FE8">
      <w:pPr>
        <w:ind w:firstLine="720"/>
        <w:rPr>
          <w:rFonts w:ascii="Times New Roman" w:hAnsi="Times New Roman" w:cs="Times New Roman"/>
          <w:sz w:val="24"/>
          <w:szCs w:val="24"/>
        </w:rPr>
      </w:pPr>
      <w:r w:rsidRPr="00D346AA">
        <w:rPr>
          <w:rFonts w:ascii="Times New Roman" w:hAnsi="Times New Roman" w:cs="Times New Roman"/>
          <w:sz w:val="24"/>
          <w:szCs w:val="24"/>
        </w:rPr>
        <w:lastRenderedPageBreak/>
        <w:t>Than</w:t>
      </w:r>
      <w:r>
        <w:rPr>
          <w:rFonts w:ascii="Times New Roman" w:hAnsi="Times New Roman" w:cs="Times New Roman"/>
          <w:sz w:val="24"/>
          <w:szCs w:val="24"/>
        </w:rPr>
        <w:t>k you for your attention to the</w:t>
      </w:r>
      <w:r w:rsidRPr="00D346AA">
        <w:rPr>
          <w:rFonts w:ascii="Times New Roman" w:hAnsi="Times New Roman" w:cs="Times New Roman"/>
          <w:sz w:val="24"/>
          <w:szCs w:val="24"/>
        </w:rPr>
        <w:t xml:space="preserve"> important issue</w:t>
      </w:r>
      <w:r>
        <w:rPr>
          <w:rFonts w:ascii="Times New Roman" w:hAnsi="Times New Roman" w:cs="Times New Roman"/>
          <w:sz w:val="24"/>
          <w:szCs w:val="24"/>
        </w:rPr>
        <w:t>s raised by the</w:t>
      </w:r>
      <w:r w:rsidR="001D3CF2">
        <w:rPr>
          <w:rFonts w:ascii="Times New Roman" w:hAnsi="Times New Roman" w:cs="Times New Roman"/>
          <w:sz w:val="24"/>
          <w:szCs w:val="24"/>
        </w:rPr>
        <w:t xml:space="preserve"> </w:t>
      </w:r>
      <w:r w:rsidR="00971A59">
        <w:rPr>
          <w:rFonts w:ascii="Times New Roman" w:hAnsi="Times New Roman" w:cs="Times New Roman"/>
          <w:sz w:val="24"/>
          <w:szCs w:val="24"/>
        </w:rPr>
        <w:t>ATP on behalf of the global</w:t>
      </w:r>
      <w:r>
        <w:rPr>
          <w:rFonts w:ascii="Times New Roman" w:hAnsi="Times New Roman" w:cs="Times New Roman"/>
          <w:sz w:val="24"/>
          <w:szCs w:val="24"/>
        </w:rPr>
        <w:t xml:space="preserve"> </w:t>
      </w:r>
      <w:r w:rsidR="00B72013">
        <w:rPr>
          <w:rFonts w:ascii="Times New Roman" w:hAnsi="Times New Roman" w:cs="Times New Roman"/>
          <w:sz w:val="24"/>
          <w:szCs w:val="24"/>
        </w:rPr>
        <w:t>assessment</w:t>
      </w:r>
      <w:r>
        <w:rPr>
          <w:rFonts w:ascii="Times New Roman" w:hAnsi="Times New Roman" w:cs="Times New Roman"/>
          <w:sz w:val="24"/>
          <w:szCs w:val="24"/>
        </w:rPr>
        <w:t xml:space="preserve"> industry about the Proposed Regulations implementing the C</w:t>
      </w:r>
      <w:r w:rsidR="002874D4">
        <w:rPr>
          <w:rFonts w:ascii="Times New Roman" w:hAnsi="Times New Roman" w:cs="Times New Roman"/>
          <w:sz w:val="24"/>
          <w:szCs w:val="24"/>
        </w:rPr>
        <w:t>RP</w:t>
      </w:r>
      <w:r>
        <w:rPr>
          <w:rFonts w:ascii="Times New Roman" w:hAnsi="Times New Roman" w:cs="Times New Roman"/>
          <w:sz w:val="24"/>
          <w:szCs w:val="24"/>
        </w:rPr>
        <w:t>A</w:t>
      </w:r>
      <w:r w:rsidR="0046371A">
        <w:rPr>
          <w:rFonts w:ascii="Times New Roman" w:hAnsi="Times New Roman" w:cs="Times New Roman"/>
          <w:sz w:val="24"/>
          <w:szCs w:val="24"/>
        </w:rPr>
        <w:t xml:space="preserve"> by </w:t>
      </w:r>
      <w:r w:rsidR="00B72013">
        <w:rPr>
          <w:rFonts w:ascii="Times New Roman" w:hAnsi="Times New Roman" w:cs="Times New Roman"/>
          <w:sz w:val="24"/>
          <w:szCs w:val="24"/>
        </w:rPr>
        <w:t>affected testing organizations</w:t>
      </w:r>
      <w:r w:rsidR="0046371A">
        <w:rPr>
          <w:rFonts w:ascii="Times New Roman" w:hAnsi="Times New Roman" w:cs="Times New Roman"/>
          <w:sz w:val="24"/>
          <w:szCs w:val="24"/>
        </w:rPr>
        <w:t xml:space="preserve"> located </w:t>
      </w:r>
      <w:r w:rsidR="00B72013">
        <w:rPr>
          <w:rFonts w:ascii="Times New Roman" w:hAnsi="Times New Roman" w:cs="Times New Roman"/>
          <w:sz w:val="24"/>
          <w:szCs w:val="24"/>
        </w:rPr>
        <w:t xml:space="preserve">both </w:t>
      </w:r>
      <w:r w:rsidR="0046371A">
        <w:rPr>
          <w:rFonts w:ascii="Times New Roman" w:hAnsi="Times New Roman" w:cs="Times New Roman"/>
          <w:sz w:val="24"/>
          <w:szCs w:val="24"/>
        </w:rPr>
        <w:t>within and outside of California.  The ATP</w:t>
      </w:r>
      <w:r w:rsidR="00621253">
        <w:rPr>
          <w:rFonts w:ascii="Times New Roman" w:hAnsi="Times New Roman" w:cs="Times New Roman"/>
          <w:sz w:val="24"/>
          <w:szCs w:val="24"/>
        </w:rPr>
        <w:t xml:space="preserve"> would be pleased </w:t>
      </w:r>
      <w:r w:rsidRPr="00D346AA">
        <w:rPr>
          <w:rFonts w:ascii="Times New Roman" w:hAnsi="Times New Roman" w:cs="Times New Roman"/>
          <w:sz w:val="24"/>
          <w:szCs w:val="24"/>
        </w:rPr>
        <w:t xml:space="preserve">to </w:t>
      </w:r>
      <w:r>
        <w:rPr>
          <w:rFonts w:ascii="Times New Roman" w:hAnsi="Times New Roman" w:cs="Times New Roman"/>
          <w:sz w:val="24"/>
          <w:szCs w:val="24"/>
        </w:rPr>
        <w:t xml:space="preserve">answer any questions the </w:t>
      </w:r>
      <w:r w:rsidR="00042617">
        <w:rPr>
          <w:rFonts w:ascii="Times New Roman" w:hAnsi="Times New Roman" w:cs="Times New Roman"/>
          <w:sz w:val="24"/>
          <w:szCs w:val="24"/>
        </w:rPr>
        <w:t xml:space="preserve">Agency </w:t>
      </w:r>
      <w:r>
        <w:rPr>
          <w:rFonts w:ascii="Times New Roman" w:hAnsi="Times New Roman" w:cs="Times New Roman"/>
          <w:sz w:val="24"/>
          <w:szCs w:val="24"/>
        </w:rPr>
        <w:t>may have in response</w:t>
      </w:r>
      <w:r w:rsidR="0046371A">
        <w:rPr>
          <w:rFonts w:ascii="Times New Roman" w:hAnsi="Times New Roman" w:cs="Times New Roman"/>
          <w:sz w:val="24"/>
          <w:szCs w:val="24"/>
        </w:rPr>
        <w:t xml:space="preserve"> to these comments</w:t>
      </w:r>
      <w:r w:rsidR="00621253">
        <w:rPr>
          <w:rFonts w:ascii="Times New Roman" w:hAnsi="Times New Roman" w:cs="Times New Roman"/>
          <w:sz w:val="24"/>
          <w:szCs w:val="24"/>
        </w:rPr>
        <w:t xml:space="preserve">, including to </w:t>
      </w:r>
      <w:r w:rsidR="00322B2C">
        <w:rPr>
          <w:rFonts w:ascii="Times New Roman" w:hAnsi="Times New Roman" w:cs="Times New Roman"/>
          <w:sz w:val="24"/>
          <w:szCs w:val="24"/>
        </w:rPr>
        <w:t>do so in a</w:t>
      </w:r>
      <w:r w:rsidR="00971A59">
        <w:rPr>
          <w:rFonts w:ascii="Times New Roman" w:hAnsi="Times New Roman" w:cs="Times New Roman"/>
          <w:sz w:val="24"/>
          <w:szCs w:val="24"/>
        </w:rPr>
        <w:t xml:space="preserve"> virtual or </w:t>
      </w:r>
      <w:r w:rsidR="00322B2C">
        <w:rPr>
          <w:rFonts w:ascii="Times New Roman" w:hAnsi="Times New Roman" w:cs="Times New Roman"/>
          <w:sz w:val="24"/>
          <w:szCs w:val="24"/>
        </w:rPr>
        <w:t>face-to-face meeting. For any follow up, please contact our General Counsel at the email address shown below.</w:t>
      </w:r>
    </w:p>
    <w:p w14:paraId="40F42927" w14:textId="77777777" w:rsidR="00606FE8" w:rsidRDefault="00606FE8" w:rsidP="00606FE8">
      <w:pPr>
        <w:rPr>
          <w:rFonts w:ascii="Times New Roman" w:hAnsi="Times New Roman" w:cs="Times New Roman"/>
          <w:sz w:val="24"/>
          <w:szCs w:val="24"/>
        </w:rPr>
      </w:pPr>
      <w:r>
        <w:rPr>
          <w:rFonts w:ascii="Times New Roman" w:hAnsi="Times New Roman" w:cs="Times New Roman"/>
        </w:rPr>
        <w:t>S</w:t>
      </w:r>
      <w:r>
        <w:rPr>
          <w:rFonts w:ascii="Times New Roman" w:hAnsi="Times New Roman" w:cs="Times New Roman"/>
          <w:sz w:val="24"/>
          <w:szCs w:val="24"/>
        </w:rPr>
        <w:t>incerely,</w:t>
      </w:r>
    </w:p>
    <w:p w14:paraId="11AA08FA" w14:textId="4CC23062" w:rsidR="00606FE8" w:rsidRDefault="00606FE8" w:rsidP="00606FE8">
      <w:pPr>
        <w:rPr>
          <w:rFonts w:ascii="Times New Roman" w:hAnsi="Times New Roman" w:cs="Times New Roman"/>
          <w:sz w:val="24"/>
          <w:szCs w:val="24"/>
        </w:rPr>
      </w:pPr>
      <w:r>
        <w:rPr>
          <w:rFonts w:ascii="Times New Roman" w:hAnsi="Times New Roman" w:cs="Times New Roman"/>
          <w:sz w:val="24"/>
          <w:szCs w:val="24"/>
        </w:rPr>
        <w:t>ASSOCIATION OF TEST PUBLISHERS</w:t>
      </w:r>
    </w:p>
    <w:p w14:paraId="48386561" w14:textId="77777777" w:rsidR="001A7221" w:rsidRDefault="001A7221" w:rsidP="00CF340A">
      <w:pPr>
        <w:shd w:val="clear" w:color="auto" w:fill="FFFFFF"/>
        <w:rPr>
          <w:rFonts w:ascii="Times New Roman" w:hAnsi="Times New Roman" w:cs="Times New Roman"/>
          <w:sz w:val="24"/>
          <w:szCs w:val="24"/>
        </w:rPr>
      </w:pPr>
    </w:p>
    <w:p w14:paraId="4EF56843" w14:textId="0B795180" w:rsidR="00621253" w:rsidRPr="00CF340A" w:rsidRDefault="00606FE8" w:rsidP="00CF340A">
      <w:pPr>
        <w:shd w:val="clear" w:color="auto" w:fill="FFFFFF"/>
        <w:rPr>
          <w:rFonts w:ascii="Arial" w:eastAsia="Times New Roman" w:hAnsi="Arial" w:cs="Arial"/>
          <w:color w:val="222222"/>
          <w:sz w:val="24"/>
          <w:szCs w:val="24"/>
        </w:rPr>
      </w:pPr>
      <w:r>
        <w:rPr>
          <w:rFonts w:ascii="Times New Roman" w:hAnsi="Times New Roman" w:cs="Times New Roman"/>
          <w:sz w:val="24"/>
          <w:szCs w:val="24"/>
        </w:rPr>
        <w:t xml:space="preserve">William G. Harris, Ph.D.                                                                                  </w:t>
      </w:r>
      <w:r w:rsidR="00322B2C">
        <w:rPr>
          <w:rFonts w:ascii="Times New Roman" w:hAnsi="Times New Roman" w:cs="Times New Roman"/>
          <w:sz w:val="24"/>
          <w:szCs w:val="24"/>
        </w:rPr>
        <w:t xml:space="preserve">                             </w:t>
      </w:r>
      <w:r w:rsidRPr="00322B2C">
        <w:rPr>
          <w:rFonts w:ascii="Times New Roman" w:hAnsi="Times New Roman" w:cs="Times New Roman"/>
          <w:sz w:val="24"/>
          <w:szCs w:val="24"/>
        </w:rPr>
        <w:t xml:space="preserve">CEO    </w:t>
      </w:r>
      <w:r w:rsidR="00322B2C" w:rsidRPr="00322B2C">
        <w:rPr>
          <w:rFonts w:ascii="Times New Roman" w:hAnsi="Times New Roman" w:cs="Times New Roman"/>
          <w:sz w:val="24"/>
          <w:szCs w:val="24"/>
        </w:rPr>
        <w:t xml:space="preserve">                                                                                                                                                      </w:t>
      </w:r>
      <w:r w:rsidR="00322B2C" w:rsidRPr="00322B2C">
        <w:rPr>
          <w:rFonts w:ascii="Times New Roman" w:eastAsia="Times New Roman" w:hAnsi="Times New Roman" w:cs="Times New Roman"/>
          <w:color w:val="222222"/>
          <w:sz w:val="24"/>
          <w:szCs w:val="24"/>
        </w:rPr>
        <w:t>601 Pennsylvania Ave., NW</w:t>
      </w:r>
      <w:r w:rsidR="00322B2C" w:rsidRPr="00322B2C">
        <w:rPr>
          <w:rFonts w:ascii="Arial" w:eastAsia="Times New Roman" w:hAnsi="Arial" w:cs="Arial"/>
          <w:color w:val="222222"/>
          <w:sz w:val="24"/>
          <w:szCs w:val="24"/>
        </w:rPr>
        <w:t xml:space="preserve">                                                                                            </w:t>
      </w:r>
      <w:r w:rsidR="00322B2C" w:rsidRPr="00322B2C">
        <w:rPr>
          <w:rFonts w:ascii="Times New Roman" w:eastAsia="Times New Roman" w:hAnsi="Times New Roman" w:cs="Times New Roman"/>
          <w:color w:val="222222"/>
          <w:sz w:val="24"/>
          <w:szCs w:val="24"/>
        </w:rPr>
        <w:t>South Bldg., Suite 900</w:t>
      </w:r>
      <w:r w:rsidR="00322B2C" w:rsidRPr="00322B2C">
        <w:rPr>
          <w:rFonts w:ascii="Arial" w:eastAsia="Times New Roman" w:hAnsi="Arial" w:cs="Arial"/>
          <w:color w:val="222222"/>
          <w:sz w:val="24"/>
          <w:szCs w:val="24"/>
        </w:rPr>
        <w:t xml:space="preserve">                                                                                         </w:t>
      </w:r>
      <w:r w:rsidR="00322B2C">
        <w:rPr>
          <w:rFonts w:ascii="Arial" w:eastAsia="Times New Roman" w:hAnsi="Arial" w:cs="Arial"/>
          <w:color w:val="222222"/>
          <w:sz w:val="24"/>
          <w:szCs w:val="24"/>
        </w:rPr>
        <w:t xml:space="preserve">            </w:t>
      </w:r>
      <w:r w:rsidR="00322B2C" w:rsidRPr="00322B2C">
        <w:rPr>
          <w:rFonts w:ascii="Times New Roman" w:eastAsia="Times New Roman" w:hAnsi="Times New Roman" w:cs="Times New Roman"/>
          <w:color w:val="222222"/>
          <w:sz w:val="24"/>
          <w:szCs w:val="24"/>
        </w:rPr>
        <w:t>Washington D.C. 20004 </w:t>
      </w:r>
    </w:p>
    <w:p w14:paraId="5A22EA1A" w14:textId="77777777" w:rsidR="00154FF3" w:rsidRDefault="00A557F7" w:rsidP="00154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Alina von Davier</w:t>
      </w:r>
      <w:r w:rsidR="00DD7C9E">
        <w:rPr>
          <w:rFonts w:ascii="Times New Roman" w:hAnsi="Times New Roman" w:cs="Times New Roman"/>
          <w:sz w:val="24"/>
          <w:szCs w:val="24"/>
        </w:rPr>
        <w:t xml:space="preserve">, </w:t>
      </w:r>
      <w:r w:rsidR="00154FF3">
        <w:rPr>
          <w:rFonts w:ascii="Times New Roman" w:hAnsi="Times New Roman" w:cs="Times New Roman"/>
          <w:sz w:val="24"/>
          <w:szCs w:val="24"/>
        </w:rPr>
        <w:t>Ph.D.</w:t>
      </w:r>
    </w:p>
    <w:p w14:paraId="01525F33" w14:textId="7AEB29B6" w:rsidR="00154FF3" w:rsidRDefault="00DD7C9E" w:rsidP="00154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of the </w:t>
      </w:r>
      <w:r w:rsidR="00154FF3">
        <w:rPr>
          <w:rFonts w:ascii="Times New Roman" w:hAnsi="Times New Roman" w:cs="Times New Roman"/>
          <w:sz w:val="24"/>
          <w:szCs w:val="24"/>
        </w:rPr>
        <w:t xml:space="preserve">ATP </w:t>
      </w:r>
      <w:r>
        <w:rPr>
          <w:rFonts w:ascii="Times New Roman" w:hAnsi="Times New Roman" w:cs="Times New Roman"/>
          <w:sz w:val="24"/>
          <w:szCs w:val="24"/>
        </w:rPr>
        <w:t xml:space="preserve">Board of Directors                    </w:t>
      </w:r>
      <w:r w:rsidR="00666EAD">
        <w:rPr>
          <w:rFonts w:ascii="Times New Roman" w:hAnsi="Times New Roman" w:cs="Times New Roman"/>
          <w:sz w:val="24"/>
          <w:szCs w:val="24"/>
        </w:rPr>
        <w:tab/>
      </w:r>
      <w:r w:rsidR="00666EAD">
        <w:rPr>
          <w:rFonts w:ascii="Times New Roman" w:hAnsi="Times New Roman" w:cs="Times New Roman"/>
          <w:sz w:val="24"/>
          <w:szCs w:val="24"/>
        </w:rPr>
        <w:tab/>
      </w:r>
      <w:r w:rsidR="00666EAD">
        <w:rPr>
          <w:rFonts w:ascii="Times New Roman" w:hAnsi="Times New Roman" w:cs="Times New Roman"/>
          <w:sz w:val="24"/>
          <w:szCs w:val="24"/>
        </w:rPr>
        <w:tab/>
      </w:r>
    </w:p>
    <w:p w14:paraId="37ADA716" w14:textId="78F1591D" w:rsidR="00606FE8" w:rsidRDefault="00154FF3" w:rsidP="00154FF3">
      <w:pPr>
        <w:spacing w:after="0" w:line="24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Chief</w:t>
      </w:r>
      <w:r w:rsidR="000F3951">
        <w:rPr>
          <w:rFonts w:ascii="Times New Roman" w:hAnsi="Times New Roman" w:cs="Times New Roman"/>
          <w:sz w:val="24"/>
          <w:szCs w:val="24"/>
        </w:rPr>
        <w:t xml:space="preserve"> </w:t>
      </w:r>
      <w:r>
        <w:rPr>
          <w:rFonts w:ascii="Times New Roman" w:hAnsi="Times New Roman" w:cs="Times New Roman"/>
          <w:sz w:val="24"/>
          <w:szCs w:val="24"/>
        </w:rPr>
        <w:t>of</w:t>
      </w:r>
      <w:r w:rsidR="000F3951">
        <w:rPr>
          <w:rFonts w:ascii="Times New Roman" w:hAnsi="Times New Roman" w:cs="Times New Roman"/>
          <w:sz w:val="24"/>
          <w:szCs w:val="24"/>
        </w:rPr>
        <w:t xml:space="preserve"> </w:t>
      </w:r>
      <w:r>
        <w:rPr>
          <w:rFonts w:ascii="Times New Roman" w:hAnsi="Times New Roman" w:cs="Times New Roman"/>
          <w:sz w:val="24"/>
          <w:szCs w:val="24"/>
        </w:rPr>
        <w:t>Assessment</w:t>
      </w:r>
      <w:r w:rsidR="00666EAD">
        <w:rPr>
          <w:rFonts w:ascii="Times New Roman" w:hAnsi="Times New Roman" w:cs="Times New Roman"/>
          <w:sz w:val="24"/>
          <w:szCs w:val="24"/>
        </w:rPr>
        <w:tab/>
        <w:t xml:space="preserve">                                        </w:t>
      </w:r>
      <w:r w:rsidR="00DD7C9E">
        <w:rPr>
          <w:rFonts w:ascii="Times New Roman" w:hAnsi="Times New Roman" w:cs="Times New Roman"/>
          <w:sz w:val="24"/>
          <w:szCs w:val="24"/>
        </w:rPr>
        <w:t xml:space="preserve">                                                                                                                                                                                        </w:t>
      </w:r>
      <w:r w:rsidR="005035A1">
        <w:rPr>
          <w:rFonts w:ascii="Times New Roman" w:eastAsia="Times New Roman" w:hAnsi="Times New Roman" w:cs="Times New Roman"/>
          <w:color w:val="222222"/>
          <w:sz w:val="24"/>
          <w:szCs w:val="24"/>
        </w:rPr>
        <w:t>Duolingo</w:t>
      </w:r>
    </w:p>
    <w:p w14:paraId="79AB4D66" w14:textId="2BCAE4B1" w:rsidR="005035A1" w:rsidRDefault="005035A1" w:rsidP="00154FF3">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5900 Penn Ave.</w:t>
      </w:r>
    </w:p>
    <w:p w14:paraId="6C71E55A" w14:textId="6968FC22" w:rsidR="00CF340A" w:rsidRDefault="005035A1" w:rsidP="00CF340A">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Pittsburgh, PA 15206</w:t>
      </w:r>
    </w:p>
    <w:p w14:paraId="7B9D9CAF" w14:textId="77777777" w:rsidR="00CF340A" w:rsidRDefault="00CF340A" w:rsidP="00CF340A">
      <w:pPr>
        <w:spacing w:after="0" w:line="240" w:lineRule="auto"/>
        <w:jc w:val="both"/>
        <w:rPr>
          <w:rFonts w:ascii="Times New Roman" w:hAnsi="Times New Roman" w:cs="Times New Roman"/>
          <w:sz w:val="24"/>
          <w:szCs w:val="24"/>
        </w:rPr>
      </w:pPr>
    </w:p>
    <w:p w14:paraId="361A9912" w14:textId="1C6E79E8" w:rsidR="003A5111" w:rsidRDefault="00606FE8" w:rsidP="00CF340A">
      <w:pPr>
        <w:spacing w:after="0" w:line="240" w:lineRule="auto"/>
        <w:rPr>
          <w:rFonts w:ascii="Times New Roman" w:hAnsi="Times New Roman" w:cs="Times New Roman"/>
          <w:sz w:val="24"/>
          <w:szCs w:val="24"/>
        </w:rPr>
      </w:pPr>
      <w:r w:rsidRPr="003A5111">
        <w:rPr>
          <w:rFonts w:ascii="Times New Roman" w:hAnsi="Times New Roman" w:cs="Times New Roman"/>
          <w:sz w:val="24"/>
          <w:szCs w:val="24"/>
        </w:rPr>
        <w:t xml:space="preserve">Alan J. Thiemann                                                                                                                             </w:t>
      </w:r>
    </w:p>
    <w:p w14:paraId="51EF7DC4" w14:textId="42C4C71A" w:rsidR="003A5111" w:rsidRPr="003A5111" w:rsidRDefault="00606FE8" w:rsidP="00CF340A">
      <w:pPr>
        <w:spacing w:after="0" w:line="240" w:lineRule="auto"/>
        <w:rPr>
          <w:rFonts w:ascii="Times New Roman" w:hAnsi="Times New Roman" w:cs="Times New Roman"/>
          <w:sz w:val="24"/>
          <w:szCs w:val="24"/>
          <w:lang w:val="es-ES"/>
        </w:rPr>
      </w:pPr>
      <w:r w:rsidRPr="003A5111">
        <w:rPr>
          <w:rFonts w:ascii="Times New Roman" w:hAnsi="Times New Roman" w:cs="Times New Roman"/>
          <w:sz w:val="24"/>
          <w:szCs w:val="24"/>
          <w:lang w:val="es-ES"/>
        </w:rPr>
        <w:t>General</w:t>
      </w:r>
      <w:r w:rsidR="003A5111">
        <w:rPr>
          <w:rFonts w:ascii="Times New Roman" w:hAnsi="Times New Roman" w:cs="Times New Roman"/>
          <w:sz w:val="24"/>
          <w:szCs w:val="24"/>
          <w:lang w:val="es-ES"/>
        </w:rPr>
        <w:t xml:space="preserve"> </w:t>
      </w:r>
      <w:r w:rsidRPr="003A5111">
        <w:rPr>
          <w:rFonts w:ascii="Times New Roman" w:hAnsi="Times New Roman" w:cs="Times New Roman"/>
          <w:sz w:val="24"/>
          <w:szCs w:val="24"/>
          <w:lang w:val="es-ES"/>
        </w:rPr>
        <w:t>C</w:t>
      </w:r>
      <w:r w:rsidR="003A5111">
        <w:rPr>
          <w:rFonts w:ascii="Times New Roman" w:hAnsi="Times New Roman" w:cs="Times New Roman"/>
          <w:sz w:val="24"/>
          <w:szCs w:val="24"/>
          <w:lang w:val="es-ES"/>
        </w:rPr>
        <w:t>ounsel</w:t>
      </w:r>
      <w:r w:rsidRPr="003A5111">
        <w:rPr>
          <w:rFonts w:ascii="Times New Roman" w:hAnsi="Times New Roman" w:cs="Times New Roman"/>
          <w:sz w:val="24"/>
          <w:szCs w:val="24"/>
          <w:lang w:val="es-ES"/>
        </w:rPr>
        <w:t xml:space="preserve"> </w:t>
      </w:r>
      <w:r w:rsidR="00621253" w:rsidRPr="003A5111">
        <w:rPr>
          <w:rFonts w:ascii="Times New Roman" w:hAnsi="Times New Roman" w:cs="Times New Roman"/>
          <w:sz w:val="24"/>
          <w:szCs w:val="24"/>
          <w:lang w:val="es-ES"/>
        </w:rPr>
        <w:t xml:space="preserve">     </w:t>
      </w:r>
    </w:p>
    <w:p w14:paraId="743CF5EF" w14:textId="386D360A" w:rsidR="003A5111" w:rsidRDefault="003A5111" w:rsidP="00CF340A">
      <w:pPr>
        <w:spacing w:after="0" w:line="240" w:lineRule="auto"/>
        <w:rPr>
          <w:rFonts w:ascii="Times New Roman" w:hAnsi="Times New Roman" w:cs="Times New Roman"/>
          <w:sz w:val="24"/>
          <w:szCs w:val="24"/>
          <w:lang w:val="es-ES"/>
        </w:rPr>
      </w:pPr>
    </w:p>
    <w:p w14:paraId="50BEDD52" w14:textId="42DB9EAB" w:rsidR="003A5111" w:rsidRPr="00981158" w:rsidRDefault="00981158" w:rsidP="00CF340A">
      <w:pPr>
        <w:spacing w:after="0" w:line="240" w:lineRule="auto"/>
        <w:rPr>
          <w:rFonts w:ascii="Times New Roman" w:hAnsi="Times New Roman" w:cs="Times New Roman"/>
          <w:sz w:val="24"/>
          <w:szCs w:val="24"/>
        </w:rPr>
      </w:pPr>
      <w:r w:rsidRPr="00981158">
        <w:rPr>
          <w:rFonts w:ascii="Times New Roman" w:hAnsi="Times New Roman" w:cs="Times New Roman"/>
          <w:sz w:val="24"/>
          <w:szCs w:val="24"/>
        </w:rPr>
        <w:t>Alan J. Thiemann and D</w:t>
      </w:r>
      <w:r>
        <w:rPr>
          <w:rFonts w:ascii="Times New Roman" w:hAnsi="Times New Roman" w:cs="Times New Roman"/>
          <w:sz w:val="24"/>
          <w:szCs w:val="24"/>
        </w:rPr>
        <w:t>onna McPartland</w:t>
      </w:r>
    </w:p>
    <w:p w14:paraId="1792D408" w14:textId="74ADAB12" w:rsidR="00CF340A" w:rsidRPr="003A5111" w:rsidRDefault="00154FF3" w:rsidP="00CF340A">
      <w:pPr>
        <w:spacing w:after="0" w:line="240" w:lineRule="auto"/>
        <w:rPr>
          <w:rFonts w:ascii="Times New Roman" w:hAnsi="Times New Roman" w:cs="Times New Roman"/>
          <w:sz w:val="24"/>
          <w:szCs w:val="24"/>
          <w:lang w:val="es-ES"/>
        </w:rPr>
      </w:pPr>
      <w:r w:rsidRPr="003A5111">
        <w:rPr>
          <w:rFonts w:ascii="Times New Roman" w:hAnsi="Times New Roman" w:cs="Times New Roman"/>
          <w:sz w:val="24"/>
          <w:szCs w:val="24"/>
          <w:lang w:val="es-ES"/>
        </w:rPr>
        <w:t>Han Santos PLLC</w:t>
      </w:r>
    </w:p>
    <w:p w14:paraId="00750266" w14:textId="0370D1D7" w:rsidR="00963413" w:rsidRPr="003A5111" w:rsidRDefault="00963413" w:rsidP="00CF340A">
      <w:pPr>
        <w:spacing w:after="0" w:line="240" w:lineRule="auto"/>
        <w:rPr>
          <w:rFonts w:ascii="Times New Roman" w:hAnsi="Times New Roman" w:cs="Times New Roman"/>
          <w:sz w:val="24"/>
          <w:szCs w:val="24"/>
          <w:lang w:val="es-ES"/>
        </w:rPr>
      </w:pPr>
      <w:r w:rsidRPr="003A5111">
        <w:rPr>
          <w:rFonts w:ascii="Times New Roman" w:hAnsi="Times New Roman" w:cs="Times New Roman"/>
          <w:sz w:val="24"/>
          <w:szCs w:val="24"/>
          <w:lang w:val="es-ES"/>
        </w:rPr>
        <w:t>225 Rein</w:t>
      </w:r>
      <w:r w:rsidR="00856BC8" w:rsidRPr="003A5111">
        <w:rPr>
          <w:rFonts w:ascii="Times New Roman" w:hAnsi="Times New Roman" w:cs="Times New Roman"/>
          <w:sz w:val="24"/>
          <w:szCs w:val="24"/>
          <w:lang w:val="es-ES"/>
        </w:rPr>
        <w:t>ekers Lane</w:t>
      </w:r>
    </w:p>
    <w:p w14:paraId="1A2EDD14" w14:textId="4029294C" w:rsidR="00856BC8" w:rsidRPr="003A5111" w:rsidRDefault="00856BC8" w:rsidP="00CF340A">
      <w:pPr>
        <w:spacing w:after="0" w:line="240" w:lineRule="auto"/>
        <w:rPr>
          <w:rFonts w:ascii="Times New Roman" w:hAnsi="Times New Roman" w:cs="Times New Roman"/>
          <w:sz w:val="24"/>
          <w:szCs w:val="24"/>
          <w:lang w:val="es-ES"/>
        </w:rPr>
      </w:pPr>
      <w:r w:rsidRPr="003A5111">
        <w:rPr>
          <w:rFonts w:ascii="Times New Roman" w:hAnsi="Times New Roman" w:cs="Times New Roman"/>
          <w:sz w:val="24"/>
          <w:szCs w:val="24"/>
          <w:lang w:val="es-ES"/>
        </w:rPr>
        <w:t xml:space="preserve">Suite </w:t>
      </w:r>
      <w:r w:rsidR="006928E2" w:rsidRPr="003A5111">
        <w:rPr>
          <w:rFonts w:ascii="Times New Roman" w:hAnsi="Times New Roman" w:cs="Times New Roman"/>
          <w:sz w:val="24"/>
          <w:szCs w:val="24"/>
          <w:lang w:val="es-ES"/>
        </w:rPr>
        <w:t>410</w:t>
      </w:r>
    </w:p>
    <w:p w14:paraId="0BC312BF" w14:textId="6758AE9F" w:rsidR="00856BC8" w:rsidRPr="003A5111" w:rsidRDefault="00856BC8" w:rsidP="00CF340A">
      <w:pPr>
        <w:spacing w:after="0" w:line="240" w:lineRule="auto"/>
        <w:rPr>
          <w:rFonts w:ascii="Times New Roman" w:hAnsi="Times New Roman" w:cs="Times New Roman"/>
          <w:sz w:val="24"/>
          <w:szCs w:val="24"/>
          <w:lang w:val="es-ES"/>
        </w:rPr>
      </w:pPr>
      <w:r w:rsidRPr="003A5111">
        <w:rPr>
          <w:rFonts w:ascii="Times New Roman" w:hAnsi="Times New Roman" w:cs="Times New Roman"/>
          <w:sz w:val="24"/>
          <w:szCs w:val="24"/>
          <w:lang w:val="es-ES"/>
        </w:rPr>
        <w:t>Alexandria, VA 22314</w:t>
      </w:r>
    </w:p>
    <w:p w14:paraId="56EC926D" w14:textId="7DE4E69D" w:rsidR="00322B2C" w:rsidRPr="003A5111" w:rsidRDefault="00DB536B" w:rsidP="00FE0590">
      <w:pPr>
        <w:spacing w:after="0" w:line="240" w:lineRule="auto"/>
        <w:rPr>
          <w:rFonts w:ascii="Times New Roman" w:hAnsi="Times New Roman" w:cs="Times New Roman"/>
          <w:sz w:val="24"/>
          <w:szCs w:val="24"/>
          <w:lang w:val="es-ES"/>
        </w:rPr>
      </w:pPr>
      <w:r w:rsidRPr="003A5111">
        <w:rPr>
          <w:rFonts w:ascii="Times New Roman" w:hAnsi="Times New Roman" w:cs="Times New Roman"/>
          <w:sz w:val="24"/>
          <w:szCs w:val="24"/>
          <w:lang w:val="es-ES"/>
        </w:rPr>
        <w:t>alant</w:t>
      </w:r>
      <w:r w:rsidR="00856BC8" w:rsidRPr="003A5111">
        <w:rPr>
          <w:rFonts w:ascii="Times New Roman" w:hAnsi="Times New Roman" w:cs="Times New Roman"/>
          <w:sz w:val="24"/>
          <w:szCs w:val="24"/>
          <w:lang w:val="es-ES"/>
        </w:rPr>
        <w:t>@hansantos.com</w:t>
      </w:r>
    </w:p>
    <w:sectPr w:rsidR="00322B2C" w:rsidRPr="003A5111" w:rsidSect="006162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CB46" w14:textId="77777777" w:rsidR="00F60E74" w:rsidRDefault="00F60E74" w:rsidP="00CC3C92">
      <w:pPr>
        <w:spacing w:after="0" w:line="240" w:lineRule="auto"/>
      </w:pPr>
      <w:r>
        <w:separator/>
      </w:r>
    </w:p>
  </w:endnote>
  <w:endnote w:type="continuationSeparator" w:id="0">
    <w:p w14:paraId="78523412" w14:textId="77777777" w:rsidR="00F60E74" w:rsidRDefault="00F60E74" w:rsidP="00CC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B0604020202020204"/>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74097"/>
      <w:docPartObj>
        <w:docPartGallery w:val="Page Numbers (Bottom of Page)"/>
        <w:docPartUnique/>
      </w:docPartObj>
    </w:sdtPr>
    <w:sdtEndPr>
      <w:rPr>
        <w:noProof/>
      </w:rPr>
    </w:sdtEndPr>
    <w:sdtContent>
      <w:p w14:paraId="7884DAC3" w14:textId="41F90DC9" w:rsidR="004F4DCD" w:rsidRDefault="004F4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B7B18" w14:textId="77777777" w:rsidR="00322B2C" w:rsidRDefault="00322B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2E25" w14:textId="77777777" w:rsidR="00F60E74" w:rsidRDefault="00F60E74" w:rsidP="00CC3C92">
      <w:pPr>
        <w:spacing w:after="0" w:line="240" w:lineRule="auto"/>
      </w:pPr>
      <w:r>
        <w:separator/>
      </w:r>
    </w:p>
  </w:footnote>
  <w:footnote w:type="continuationSeparator" w:id="0">
    <w:p w14:paraId="5064BA9B" w14:textId="77777777" w:rsidR="00F60E74" w:rsidRDefault="00F60E74" w:rsidP="00CC3C92">
      <w:pPr>
        <w:spacing w:after="0" w:line="240" w:lineRule="auto"/>
      </w:pPr>
      <w:r>
        <w:continuationSeparator/>
      </w:r>
    </w:p>
  </w:footnote>
  <w:footnote w:id="1">
    <w:p w14:paraId="09125E59" w14:textId="75C0F366" w:rsidR="0064292B" w:rsidRPr="00F744C2" w:rsidRDefault="0064292B" w:rsidP="0064292B">
      <w:pPr>
        <w:pStyle w:val="FootnoteText"/>
        <w:rPr>
          <w:rFonts w:ascii="Times New Roman" w:hAnsi="Times New Roman" w:cs="Times New Roman"/>
          <w:sz w:val="24"/>
          <w:szCs w:val="24"/>
        </w:rPr>
      </w:pPr>
      <w:r w:rsidRPr="00A1279F">
        <w:rPr>
          <w:rStyle w:val="FootnoteReference"/>
          <w:rFonts w:ascii="Times New Roman" w:hAnsi="Times New Roman" w:cs="Times New Roman"/>
          <w:sz w:val="24"/>
          <w:szCs w:val="24"/>
        </w:rPr>
        <w:footnoteRef/>
      </w:r>
      <w:r w:rsidRPr="00A1279F">
        <w:rPr>
          <w:rFonts w:ascii="Times New Roman" w:hAnsi="Times New Roman" w:cs="Times New Roman"/>
          <w:sz w:val="24"/>
          <w:szCs w:val="24"/>
        </w:rPr>
        <w:t xml:space="preserve"> </w:t>
      </w:r>
      <w:r w:rsidRPr="00981158">
        <w:rPr>
          <w:rFonts w:ascii="Times New Roman" w:hAnsi="Times New Roman" w:cs="Times New Roman"/>
        </w:rPr>
        <w:t>The ATP’s comments are not intended to apply to educational testing in K-12 classrooms</w:t>
      </w:r>
      <w:r w:rsidR="00D501BE" w:rsidRPr="00981158">
        <w:rPr>
          <w:rFonts w:ascii="Times New Roman" w:hAnsi="Times New Roman" w:cs="Times New Roman"/>
        </w:rPr>
        <w:t>.</w:t>
      </w:r>
      <w:r w:rsidRPr="00981158">
        <w:rPr>
          <w:rFonts w:ascii="Times New Roman" w:hAnsi="Times New Roman" w:cs="Times New Roman"/>
        </w:rPr>
        <w:t xml:space="preserve"> However, the ATP is aware that some school admissions testing of children is done by computer, as well as career-oriented K-12 educational and vocational education programs for children.  In any situation involving the testing of minors, including for medical/diagnostic purposes, the ATP expects that the controlling business would require a test taker agreement to be signed by the </w:t>
      </w:r>
      <w:r w:rsidR="00A26FA7" w:rsidRPr="00981158">
        <w:rPr>
          <w:rFonts w:ascii="Times New Roman" w:hAnsi="Times New Roman" w:cs="Times New Roman"/>
        </w:rPr>
        <w:t xml:space="preserve">child’s </w:t>
      </w:r>
      <w:r w:rsidRPr="00981158">
        <w:rPr>
          <w:rFonts w:ascii="Times New Roman" w:hAnsi="Times New Roman" w:cs="Times New Roman"/>
        </w:rPr>
        <w:t>parent</w:t>
      </w:r>
      <w:r w:rsidR="00F23BE5" w:rsidRPr="00981158">
        <w:rPr>
          <w:rFonts w:ascii="Times New Roman" w:hAnsi="Times New Roman" w:cs="Times New Roman"/>
        </w:rPr>
        <w:t>/guardian</w:t>
      </w:r>
      <w:r w:rsidRPr="00981158">
        <w:rPr>
          <w:rFonts w:ascii="Times New Roman" w:hAnsi="Times New Roman" w:cs="Times New Roman"/>
        </w:rPr>
        <w:t xml:space="preserve">, </w:t>
      </w:r>
      <w:r w:rsidR="002F5122">
        <w:rPr>
          <w:rFonts w:ascii="Times New Roman" w:hAnsi="Times New Roman" w:cs="Times New Roman"/>
        </w:rPr>
        <w:t xml:space="preserve">because </w:t>
      </w:r>
      <w:r w:rsidRPr="00981158">
        <w:rPr>
          <w:rFonts w:ascii="Times New Roman" w:hAnsi="Times New Roman" w:cs="Times New Roman"/>
        </w:rPr>
        <w:t xml:space="preserve">minors do not have legal status to enter into such an agreement.  </w:t>
      </w:r>
      <w:r w:rsidR="00470486" w:rsidRPr="00981158">
        <w:rPr>
          <w:rFonts w:ascii="Times New Roman" w:hAnsi="Times New Roman" w:cs="Times New Roman"/>
        </w:rPr>
        <w:t>The ATP urges the Agency to exempt PII already subject to the Family Educational Rights and Privacy Act (</w:t>
      </w:r>
      <w:r w:rsidR="00A26FA7" w:rsidRPr="00981158">
        <w:rPr>
          <w:rFonts w:ascii="Times New Roman" w:hAnsi="Times New Roman" w:cs="Times New Roman"/>
        </w:rPr>
        <w:t>“</w:t>
      </w:r>
      <w:r w:rsidR="00470486" w:rsidRPr="00981158">
        <w:rPr>
          <w:rFonts w:ascii="Times New Roman" w:hAnsi="Times New Roman" w:cs="Times New Roman"/>
        </w:rPr>
        <w:t>FERPA</w:t>
      </w:r>
      <w:r w:rsidR="00A26FA7" w:rsidRPr="00981158">
        <w:rPr>
          <w:rFonts w:ascii="Times New Roman" w:hAnsi="Times New Roman" w:cs="Times New Roman"/>
        </w:rPr>
        <w:t>”</w:t>
      </w:r>
      <w:r w:rsidR="00470486" w:rsidRPr="00981158">
        <w:rPr>
          <w:rFonts w:ascii="Times New Roman" w:hAnsi="Times New Roman" w:cs="Times New Roman"/>
        </w:rPr>
        <w:t>)</w:t>
      </w:r>
      <w:r w:rsidR="003E15D0" w:rsidRPr="00981158">
        <w:rPr>
          <w:rFonts w:ascii="Roboto" w:hAnsi="Roboto"/>
          <w:color w:val="4D5156"/>
          <w:shd w:val="clear" w:color="auto" w:fill="FFFFFF"/>
        </w:rPr>
        <w:t xml:space="preserve"> (</w:t>
      </w:r>
      <w:r w:rsidR="003E15D0" w:rsidRPr="00981158">
        <w:rPr>
          <w:rFonts w:ascii="Times New Roman" w:hAnsi="Times New Roman" w:cs="Times New Roman"/>
        </w:rPr>
        <w:t>20 U.S.C. § 1232g; 34 CFR Part 99)</w:t>
      </w:r>
      <w:r w:rsidR="00470486" w:rsidRPr="00981158">
        <w:rPr>
          <w:rFonts w:ascii="Times New Roman" w:hAnsi="Times New Roman" w:cs="Times New Roman"/>
        </w:rPr>
        <w:t xml:space="preserve"> from these Proposed Regulations.</w:t>
      </w:r>
      <w:r w:rsidRPr="00981158">
        <w:rPr>
          <w:rFonts w:ascii="Times New Roman" w:hAnsi="Times New Roman" w:cs="Times New Roman"/>
        </w:rPr>
        <w:br/>
      </w:r>
    </w:p>
  </w:footnote>
  <w:footnote w:id="2">
    <w:p w14:paraId="0DE2D326" w14:textId="4BD9D7A3" w:rsidR="008157A3" w:rsidRPr="00981158" w:rsidRDefault="008157A3">
      <w:pPr>
        <w:pStyle w:val="FootnoteText"/>
        <w:rPr>
          <w:rFonts w:ascii="Times New Roman" w:hAnsi="Times New Roman" w:cs="Times New Roman"/>
        </w:rPr>
      </w:pPr>
      <w:r>
        <w:rPr>
          <w:rStyle w:val="FootnoteReference"/>
        </w:rPr>
        <w:footnoteRef/>
      </w:r>
      <w:r>
        <w:t xml:space="preserve"> </w:t>
      </w:r>
      <w:r w:rsidR="005B27B4">
        <w:t xml:space="preserve">  </w:t>
      </w:r>
      <w:r w:rsidR="00BC2791" w:rsidRPr="00981158">
        <w:rPr>
          <w:rFonts w:ascii="Times New Roman" w:hAnsi="Times New Roman" w:cs="Times New Roman"/>
          <w:i/>
          <w:iCs/>
        </w:rPr>
        <w:t xml:space="preserve">See </w:t>
      </w:r>
      <w:r w:rsidR="00303D9E" w:rsidRPr="00981158">
        <w:rPr>
          <w:rFonts w:ascii="Times New Roman" w:hAnsi="Times New Roman" w:cs="Times New Roman"/>
        </w:rPr>
        <w:t xml:space="preserve">fn 5, </w:t>
      </w:r>
      <w:r w:rsidR="00303D9E" w:rsidRPr="00981158">
        <w:rPr>
          <w:rFonts w:ascii="Times New Roman" w:hAnsi="Times New Roman" w:cs="Times New Roman"/>
          <w:i/>
          <w:iCs/>
        </w:rPr>
        <w:t>i</w:t>
      </w:r>
      <w:r w:rsidR="00303D9E" w:rsidRPr="00981158">
        <w:rPr>
          <w:rFonts w:ascii="Times New Roman" w:hAnsi="Times New Roman" w:cs="Times New Roman"/>
        </w:rPr>
        <w:t>nfra</w:t>
      </w:r>
    </w:p>
  </w:footnote>
  <w:footnote w:id="3">
    <w:p w14:paraId="20BA3880" w14:textId="6C5D6979" w:rsidR="00322B2C" w:rsidRPr="00746A3D" w:rsidRDefault="00322B2C" w:rsidP="00575080">
      <w:pPr>
        <w:pStyle w:val="CommentText"/>
        <w:rPr>
          <w:rFonts w:ascii="Times New Roman" w:hAnsi="Times New Roman" w:cs="Times New Roman"/>
        </w:rPr>
      </w:pPr>
      <w:r w:rsidRPr="00746A3D">
        <w:rPr>
          <w:rStyle w:val="FootnoteReference"/>
          <w:rFonts w:ascii="Times New Roman" w:hAnsi="Times New Roman" w:cs="Times New Roman"/>
        </w:rPr>
        <w:footnoteRef/>
      </w:r>
      <w:r w:rsidRPr="00746A3D">
        <w:rPr>
          <w:rFonts w:ascii="Times New Roman" w:hAnsi="Times New Roman" w:cs="Times New Roman"/>
        </w:rPr>
        <w:t xml:space="preserve"> It is important to recognize that in most high</w:t>
      </w:r>
      <w:r w:rsidR="00D501BE">
        <w:rPr>
          <w:rFonts w:ascii="Times New Roman" w:hAnsi="Times New Roman" w:cs="Times New Roman"/>
        </w:rPr>
        <w:t>-</w:t>
      </w:r>
      <w:r w:rsidRPr="00746A3D">
        <w:rPr>
          <w:rFonts w:ascii="Times New Roman" w:hAnsi="Times New Roman" w:cs="Times New Roman"/>
        </w:rPr>
        <w:t>stakes tests, the test</w:t>
      </w:r>
      <w:r w:rsidR="00D501BE">
        <w:rPr>
          <w:rFonts w:ascii="Times New Roman" w:hAnsi="Times New Roman" w:cs="Times New Roman"/>
        </w:rPr>
        <w:t xml:space="preserve"> </w:t>
      </w:r>
      <w:r w:rsidRPr="00746A3D">
        <w:rPr>
          <w:rFonts w:ascii="Times New Roman" w:hAnsi="Times New Roman" w:cs="Times New Roman"/>
        </w:rPr>
        <w:t>taker is expected to answer questions on his/her own, without having advance access to test questions, receiving any assistance from another person, using reference materials or notes, or having unauthorized access to the Internet.  Obviously, these high</w:t>
      </w:r>
      <w:r w:rsidR="00172B5F">
        <w:rPr>
          <w:rFonts w:ascii="Times New Roman" w:hAnsi="Times New Roman" w:cs="Times New Roman"/>
        </w:rPr>
        <w:t>-</w:t>
      </w:r>
      <w:r w:rsidRPr="00746A3D">
        <w:rPr>
          <w:rFonts w:ascii="Times New Roman" w:hAnsi="Times New Roman" w:cs="Times New Roman"/>
        </w:rPr>
        <w:t xml:space="preserve">stakes tests are unique to the specific individual taking the test – the results/scores are only intended for and relevant to the specific individual who has registered for the test and then verified to take the test.  Consequently, every testing organization pays significant attention to the security of test content and test taker information, to ensure that cheating on tests is prevented so that every test taker has an equally fair opportunity to succeed. </w:t>
      </w:r>
    </w:p>
  </w:footnote>
  <w:footnote w:id="4">
    <w:p w14:paraId="23165ADF" w14:textId="0D9452A5" w:rsidR="00322B2C" w:rsidRPr="00746A3D" w:rsidRDefault="00322B2C" w:rsidP="00575080">
      <w:pPr>
        <w:pStyle w:val="FootnoteText"/>
        <w:rPr>
          <w:rFonts w:ascii="Times New Roman" w:hAnsi="Times New Roman" w:cs="Times New Roman"/>
        </w:rPr>
      </w:pPr>
      <w:r w:rsidRPr="0057508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746A3D">
        <w:rPr>
          <w:rFonts w:ascii="Times New Roman" w:hAnsi="Times New Roman" w:cs="Times New Roman"/>
        </w:rPr>
        <w:t>Indeed, many ATP Members operate international testing programs, meaning that those organizations register and administer tests to test takers</w:t>
      </w:r>
      <w:r w:rsidR="002F5122">
        <w:rPr>
          <w:rFonts w:ascii="Times New Roman" w:hAnsi="Times New Roman" w:cs="Times New Roman"/>
        </w:rPr>
        <w:t xml:space="preserve"> outside the U.S.</w:t>
      </w:r>
      <w:r w:rsidRPr="00746A3D">
        <w:rPr>
          <w:rFonts w:ascii="Times New Roman" w:hAnsi="Times New Roman" w:cs="Times New Roman"/>
        </w:rPr>
        <w:t xml:space="preserve"> Thus, they must operate in accordance with </w:t>
      </w:r>
      <w:r w:rsidR="002F5122">
        <w:rPr>
          <w:rFonts w:ascii="Times New Roman" w:hAnsi="Times New Roman" w:cs="Times New Roman"/>
        </w:rPr>
        <w:t xml:space="preserve">global </w:t>
      </w:r>
      <w:r w:rsidRPr="00746A3D">
        <w:rPr>
          <w:rFonts w:ascii="Times New Roman" w:hAnsi="Times New Roman" w:cs="Times New Roman"/>
        </w:rPr>
        <w:t xml:space="preserve">privacy laws, especially the General Data Protection Regulation (“GDPR”).  In those situations, many ATP Members have attempted to establish a uniform privacy policy that harmonizes the GDPR with the CCPA. It is </w:t>
      </w:r>
      <w:r w:rsidR="00815DC6">
        <w:rPr>
          <w:rFonts w:ascii="Times New Roman" w:hAnsi="Times New Roman" w:cs="Times New Roman"/>
        </w:rPr>
        <w:t xml:space="preserve">simply impractical and </w:t>
      </w:r>
      <w:r w:rsidRPr="00746A3D">
        <w:rPr>
          <w:rFonts w:ascii="Times New Roman" w:hAnsi="Times New Roman" w:cs="Times New Roman"/>
        </w:rPr>
        <w:t xml:space="preserve">unrealistic to expect an entity doing business internationally to adopt </w:t>
      </w:r>
      <w:r w:rsidR="00746A3D" w:rsidRPr="00746A3D">
        <w:rPr>
          <w:rFonts w:ascii="Times New Roman" w:hAnsi="Times New Roman" w:cs="Times New Roman"/>
        </w:rPr>
        <w:t>separate</w:t>
      </w:r>
      <w:r w:rsidRPr="00746A3D">
        <w:rPr>
          <w:rFonts w:ascii="Times New Roman" w:hAnsi="Times New Roman" w:cs="Times New Roman"/>
        </w:rPr>
        <w:t xml:space="preserve"> and distinct privacy policies for each country in which it operates (or for each state in the United States).</w:t>
      </w:r>
    </w:p>
    <w:p w14:paraId="2BA8E4B8" w14:textId="77777777" w:rsidR="00322B2C" w:rsidRPr="00575080" w:rsidRDefault="00322B2C" w:rsidP="00575080">
      <w:pPr>
        <w:pStyle w:val="FootnoteText"/>
        <w:rPr>
          <w:rFonts w:ascii="Times New Roman" w:hAnsi="Times New Roman" w:cs="Times New Roman"/>
          <w:sz w:val="24"/>
          <w:szCs w:val="24"/>
        </w:rPr>
      </w:pPr>
    </w:p>
  </w:footnote>
  <w:footnote w:id="5">
    <w:p w14:paraId="0F915578" w14:textId="4A8AE69E" w:rsidR="00322B2C" w:rsidRPr="004A7CCE" w:rsidRDefault="00322B2C" w:rsidP="008809C5">
      <w:pPr>
        <w:rPr>
          <w:rFonts w:ascii="Times New Roman" w:hAnsi="Times New Roman" w:cs="Times New Roman"/>
          <w:sz w:val="20"/>
          <w:szCs w:val="20"/>
        </w:rPr>
      </w:pPr>
      <w:r w:rsidRPr="00AD454D">
        <w:rPr>
          <w:rStyle w:val="FootnoteReference"/>
          <w:rFonts w:ascii="Times New Roman" w:hAnsi="Times New Roman" w:cs="Times New Roman"/>
          <w:sz w:val="20"/>
          <w:szCs w:val="20"/>
        </w:rPr>
        <w:footnoteRef/>
      </w:r>
      <w:r w:rsidRPr="00AD454D">
        <w:rPr>
          <w:rFonts w:ascii="Times New Roman" w:hAnsi="Times New Roman" w:cs="Times New Roman"/>
          <w:sz w:val="20"/>
          <w:szCs w:val="20"/>
        </w:rPr>
        <w:t xml:space="preserve"> </w:t>
      </w:r>
      <w:r w:rsidRPr="004A7CCE">
        <w:rPr>
          <w:rFonts w:ascii="Times New Roman" w:hAnsi="Times New Roman" w:cs="Times New Roman"/>
          <w:sz w:val="20"/>
          <w:szCs w:val="20"/>
        </w:rPr>
        <w:t xml:space="preserve">Secure tests are granted special copyright protection in the United States under the 1976 Copyright Act.  The regulations implementing the Act define (in part) a ‘‘secure test’’ as ‘‘a nonmarketed test…”  “For these purposes, a test is not marketed if copies are not sold but it is distributed and used in such a manner that ownership and control of copies remain with the test sponsor or publisher.’’ 37 CFR 202.20(b)(4).  </w:t>
      </w:r>
      <w:r w:rsidRPr="004A7CCE">
        <w:rPr>
          <w:rFonts w:ascii="Times New Roman" w:hAnsi="Times New Roman" w:cs="Times New Roman"/>
          <w:i/>
          <w:sz w:val="20"/>
          <w:szCs w:val="20"/>
        </w:rPr>
        <w:t xml:space="preserve">See </w:t>
      </w:r>
      <w:r w:rsidRPr="004A7CCE">
        <w:rPr>
          <w:rFonts w:ascii="Times New Roman" w:hAnsi="Times New Roman" w:cs="Times New Roman"/>
          <w:sz w:val="20"/>
          <w:szCs w:val="20"/>
        </w:rPr>
        <w:t xml:space="preserve">42 </w:t>
      </w:r>
      <w:r w:rsidRPr="004A7CCE">
        <w:rPr>
          <w:rFonts w:ascii="Times New Roman" w:hAnsi="Times New Roman" w:cs="Times New Roman"/>
          <w:i/>
          <w:sz w:val="20"/>
          <w:szCs w:val="20"/>
        </w:rPr>
        <w:t>Fed. Reg.</w:t>
      </w:r>
      <w:r w:rsidRPr="004A7CCE">
        <w:rPr>
          <w:rFonts w:ascii="Times New Roman" w:hAnsi="Times New Roman" w:cs="Times New Roman"/>
          <w:sz w:val="20"/>
          <w:szCs w:val="20"/>
        </w:rPr>
        <w:t xml:space="preserve"> 59,302, 59,304 &amp; n.1 (Nov. 16, 1977).  The ATP contends that the final regulations must include guidance on an exception addressing the recognition of a business’s IP rights under federal law.</w:t>
      </w:r>
    </w:p>
  </w:footnote>
  <w:footnote w:id="6">
    <w:p w14:paraId="55889E28" w14:textId="573E37DE" w:rsidR="00322B2C" w:rsidRPr="004A7CCE" w:rsidRDefault="00322B2C">
      <w:pPr>
        <w:pStyle w:val="FootnoteText"/>
        <w:rPr>
          <w:rFonts w:ascii="Times New Roman" w:hAnsi="Times New Roman" w:cs="Times New Roman"/>
        </w:rPr>
      </w:pPr>
      <w:r w:rsidRPr="004A7CCE">
        <w:rPr>
          <w:rStyle w:val="FootnoteReference"/>
          <w:rFonts w:ascii="Times New Roman" w:hAnsi="Times New Roman" w:cs="Times New Roman"/>
        </w:rPr>
        <w:footnoteRef/>
      </w:r>
      <w:r w:rsidRPr="004A7CCE">
        <w:rPr>
          <w:rFonts w:ascii="Times New Roman" w:hAnsi="Times New Roman" w:cs="Times New Roman"/>
        </w:rPr>
        <w:t xml:space="preserve"> The ATP believes that, to the extent that a test taker form/agreement is used by a testing organization as a “point-of-collection notice,” it must meet the requirements of §999.305(a).  Nevertheless, no matter how much a business tries to use “plain language” and “avoid legal jargon,” someone can always assert that a document </w:t>
      </w:r>
      <w:r w:rsidR="003B09F6">
        <w:rPr>
          <w:rFonts w:ascii="Times New Roman" w:hAnsi="Times New Roman" w:cs="Times New Roman"/>
        </w:rPr>
        <w:t xml:space="preserve">which has legal </w:t>
      </w:r>
      <w:r w:rsidR="000C39F2">
        <w:rPr>
          <w:rFonts w:ascii="Times New Roman" w:hAnsi="Times New Roman" w:cs="Times New Roman"/>
        </w:rPr>
        <w:t xml:space="preserve">significance </w:t>
      </w:r>
      <w:r w:rsidRPr="004A7CCE">
        <w:rPr>
          <w:rFonts w:ascii="Times New Roman" w:hAnsi="Times New Roman" w:cs="Times New Roman"/>
        </w:rPr>
        <w:t xml:space="preserve">fails to conform.  The final regulations should be modified to include language that a notice shall be “reasonably written to achieve the goals” to ensure that a balanced approach is used to evaluate all such documents. </w:t>
      </w:r>
    </w:p>
    <w:p w14:paraId="75283BE5" w14:textId="77777777" w:rsidR="00322B2C" w:rsidRDefault="00322B2C">
      <w:pPr>
        <w:pStyle w:val="FootnoteText"/>
      </w:pPr>
    </w:p>
  </w:footnote>
  <w:footnote w:id="7">
    <w:p w14:paraId="238EB874" w14:textId="1AA37B2B" w:rsidR="00322B2C" w:rsidRPr="00981158" w:rsidRDefault="00322B2C" w:rsidP="00981158">
      <w:pPr>
        <w:spacing w:line="240" w:lineRule="auto"/>
        <w:rPr>
          <w:rFonts w:ascii="Times New Roman" w:hAnsi="Times New Roman" w:cs="Times New Roman"/>
          <w:spacing w:val="-1"/>
          <w:sz w:val="20"/>
          <w:szCs w:val="20"/>
          <w:shd w:val="clear" w:color="auto" w:fill="FFFFFF"/>
        </w:rPr>
      </w:pPr>
      <w:r w:rsidRPr="006F2293">
        <w:rPr>
          <w:rStyle w:val="FootnoteReference"/>
          <w:rFonts w:ascii="Times New Roman" w:hAnsi="Times New Roman" w:cs="Times New Roman"/>
          <w:sz w:val="20"/>
          <w:szCs w:val="20"/>
        </w:rPr>
        <w:footnoteRef/>
      </w:r>
      <w:r w:rsidRPr="006F2293">
        <w:rPr>
          <w:rFonts w:ascii="Times New Roman" w:hAnsi="Times New Roman" w:cs="Times New Roman"/>
          <w:sz w:val="20"/>
          <w:szCs w:val="20"/>
        </w:rPr>
        <w:t xml:space="preserve"> </w:t>
      </w:r>
      <w:r w:rsidR="002F5122">
        <w:rPr>
          <w:rFonts w:ascii="Times New Roman" w:hAnsi="Times New Roman" w:cs="Times New Roman"/>
          <w:spacing w:val="-1"/>
          <w:sz w:val="20"/>
          <w:szCs w:val="20"/>
          <w:shd w:val="clear" w:color="auto" w:fill="FFFFFF"/>
        </w:rPr>
        <w:t>S</w:t>
      </w:r>
      <w:r w:rsidRPr="00981158">
        <w:rPr>
          <w:rFonts w:ascii="Times New Roman" w:hAnsi="Times New Roman" w:cs="Times New Roman"/>
          <w:spacing w:val="-1"/>
          <w:sz w:val="20"/>
          <w:szCs w:val="20"/>
          <w:shd w:val="clear" w:color="auto" w:fill="FFFFFF"/>
        </w:rPr>
        <w:t xml:space="preserve">ome of those responsibilities may be delegated by contract to one or more service providers, who </w:t>
      </w:r>
      <w:r w:rsidR="004A7CCE" w:rsidRPr="006F2293">
        <w:rPr>
          <w:rFonts w:ascii="Times New Roman" w:hAnsi="Times New Roman" w:cs="Times New Roman"/>
          <w:spacing w:val="-1"/>
          <w:sz w:val="20"/>
          <w:szCs w:val="20"/>
          <w:shd w:val="clear" w:color="auto" w:fill="FFFFFF"/>
        </w:rPr>
        <w:t>often</w:t>
      </w:r>
      <w:r w:rsidRPr="00981158">
        <w:rPr>
          <w:rFonts w:ascii="Times New Roman" w:hAnsi="Times New Roman" w:cs="Times New Roman"/>
          <w:spacing w:val="-1"/>
          <w:sz w:val="20"/>
          <w:szCs w:val="20"/>
          <w:shd w:val="clear" w:color="auto" w:fill="FFFFFF"/>
        </w:rPr>
        <w:t xml:space="preserve"> have the direct relationship with the test takers, such as handling registration of test takers, administering the actual testing services, </w:t>
      </w:r>
      <w:r w:rsidR="004C3272">
        <w:rPr>
          <w:rFonts w:ascii="Times New Roman" w:hAnsi="Times New Roman" w:cs="Times New Roman"/>
          <w:spacing w:val="-1"/>
          <w:sz w:val="20"/>
          <w:szCs w:val="20"/>
          <w:shd w:val="clear" w:color="auto" w:fill="FFFFFF"/>
        </w:rPr>
        <w:t>providing test proctoring services</w:t>
      </w:r>
      <w:r w:rsidR="002F5122">
        <w:rPr>
          <w:rFonts w:ascii="Times New Roman" w:hAnsi="Times New Roman" w:cs="Times New Roman"/>
          <w:spacing w:val="-1"/>
          <w:sz w:val="20"/>
          <w:szCs w:val="20"/>
          <w:shd w:val="clear" w:color="auto" w:fill="FFFFFF"/>
        </w:rPr>
        <w:t>,</w:t>
      </w:r>
      <w:r w:rsidRPr="00981158">
        <w:rPr>
          <w:rFonts w:ascii="Times New Roman" w:hAnsi="Times New Roman" w:cs="Times New Roman"/>
          <w:spacing w:val="-1"/>
          <w:sz w:val="20"/>
          <w:szCs w:val="20"/>
          <w:shd w:val="clear" w:color="auto" w:fill="FFFFFF"/>
        </w:rPr>
        <w:t xml:space="preserve"> and/or managing the security of the testing event. </w:t>
      </w:r>
    </w:p>
  </w:footnote>
  <w:footnote w:id="8">
    <w:p w14:paraId="69B6DEC5" w14:textId="04C48391" w:rsidR="002F5122" w:rsidRPr="006F2293" w:rsidRDefault="002F5122" w:rsidP="002F5122">
      <w:pPr>
        <w:pStyle w:val="FootnoteText"/>
        <w:rPr>
          <w:rFonts w:ascii="Times New Roman" w:hAnsi="Times New Roman" w:cs="Times New Roman"/>
          <w:spacing w:val="-1"/>
          <w:shd w:val="clear" w:color="auto" w:fill="FFFFFF"/>
        </w:rPr>
      </w:pPr>
      <w:r>
        <w:rPr>
          <w:rStyle w:val="FootnoteReference"/>
        </w:rPr>
        <w:footnoteRef/>
      </w:r>
      <w:r>
        <w:t xml:space="preserve"> </w:t>
      </w:r>
      <w:r w:rsidRPr="006F2293">
        <w:rPr>
          <w:rFonts w:ascii="Times New Roman" w:hAnsi="Times New Roman" w:cs="Times New Roman"/>
          <w:spacing w:val="-1"/>
          <w:shd w:val="clear" w:color="auto" w:fill="FFFFFF"/>
        </w:rPr>
        <w:t xml:space="preserve">Even “raw” data provided by a test taker is not always considered to be “personal information” or treated as personal information.  In circumstances where the test taker is an employee, where the testing organization’s IP rights must take priority over a person’s test answers, and where </w:t>
      </w:r>
      <w:r w:rsidR="001050E6">
        <w:rPr>
          <w:rFonts w:ascii="Times New Roman" w:hAnsi="Times New Roman" w:cs="Times New Roman"/>
          <w:spacing w:val="-1"/>
          <w:shd w:val="clear" w:color="auto" w:fill="FFFFFF"/>
        </w:rPr>
        <w:t>an</w:t>
      </w:r>
      <w:r w:rsidRPr="006F2293">
        <w:rPr>
          <w:rFonts w:ascii="Times New Roman" w:hAnsi="Times New Roman" w:cs="Times New Roman"/>
          <w:spacing w:val="-1"/>
          <w:shd w:val="clear" w:color="auto" w:fill="FFFFFF"/>
        </w:rPr>
        <w:t>other exemption may exist that support</w:t>
      </w:r>
      <w:r w:rsidR="001050E6">
        <w:rPr>
          <w:rFonts w:ascii="Times New Roman" w:hAnsi="Times New Roman" w:cs="Times New Roman"/>
          <w:spacing w:val="-1"/>
          <w:shd w:val="clear" w:color="auto" w:fill="FFFFFF"/>
        </w:rPr>
        <w:t>s</w:t>
      </w:r>
      <w:r w:rsidRPr="006F2293">
        <w:rPr>
          <w:rFonts w:ascii="Times New Roman" w:hAnsi="Times New Roman" w:cs="Times New Roman"/>
          <w:spacing w:val="-1"/>
          <w:shd w:val="clear" w:color="auto" w:fill="FFFFFF"/>
        </w:rPr>
        <w:t xml:space="preserve"> a denial of a request for access to, or deletion of, information collected from the test taker, such test answers are effectively not personal information.  These situations are covered in the test taker agreement (</w:t>
      </w:r>
      <w:r w:rsidRPr="006F2293">
        <w:rPr>
          <w:rFonts w:ascii="Times New Roman" w:hAnsi="Times New Roman" w:cs="Times New Roman"/>
          <w:i/>
          <w:spacing w:val="-1"/>
          <w:shd w:val="clear" w:color="auto" w:fill="FFFFFF"/>
        </w:rPr>
        <w:t xml:space="preserve">see </w:t>
      </w:r>
      <w:r>
        <w:rPr>
          <w:rFonts w:ascii="Times New Roman" w:hAnsi="Times New Roman" w:cs="Times New Roman"/>
          <w:i/>
          <w:spacing w:val="-1"/>
          <w:shd w:val="clear" w:color="auto" w:fill="FFFFFF"/>
        </w:rPr>
        <w:t>supr</w:t>
      </w:r>
      <w:r w:rsidRPr="006F2293">
        <w:rPr>
          <w:rFonts w:ascii="Times New Roman" w:hAnsi="Times New Roman" w:cs="Times New Roman"/>
          <w:i/>
          <w:spacing w:val="-1"/>
          <w:shd w:val="clear" w:color="auto" w:fill="FFFFFF"/>
        </w:rPr>
        <w:t xml:space="preserve">a. </w:t>
      </w:r>
      <w:r w:rsidRPr="006F2293">
        <w:rPr>
          <w:rFonts w:ascii="Times New Roman" w:hAnsi="Times New Roman" w:cs="Times New Roman"/>
          <w:spacing w:val="-1"/>
          <w:shd w:val="clear" w:color="auto" w:fill="FFFFFF"/>
        </w:rPr>
        <w:t>fn 5).</w:t>
      </w:r>
    </w:p>
    <w:p w14:paraId="27156EAC" w14:textId="278D2DDE" w:rsidR="002F5122" w:rsidRDefault="002F5122">
      <w:pPr>
        <w:pStyle w:val="FootnoteText"/>
      </w:pPr>
    </w:p>
  </w:footnote>
  <w:footnote w:id="9">
    <w:p w14:paraId="6E3219F8" w14:textId="3B46A51D" w:rsidR="00322B2C" w:rsidRPr="006F2293" w:rsidRDefault="00322B2C">
      <w:pPr>
        <w:pStyle w:val="FootnoteText"/>
        <w:rPr>
          <w:rFonts w:ascii="Times New Roman" w:hAnsi="Times New Roman" w:cs="Times New Roman"/>
        </w:rPr>
      </w:pPr>
      <w:r w:rsidRPr="006F2293">
        <w:rPr>
          <w:rStyle w:val="FootnoteReference"/>
          <w:rFonts w:ascii="Times New Roman" w:hAnsi="Times New Roman" w:cs="Times New Roman"/>
        </w:rPr>
        <w:footnoteRef/>
      </w:r>
      <w:r w:rsidRPr="006F2293">
        <w:rPr>
          <w:rFonts w:ascii="Times New Roman" w:hAnsi="Times New Roman" w:cs="Times New Roman"/>
        </w:rPr>
        <w:t xml:space="preserve"> Significantly, this type of derived information is largely unique in the testing industry.  Test results/scores are distinguished from consumers’ input on social media services, where an individual’s postings to the platform are then shared in the same manner and context in which they were inputted.  Nor are test</w:t>
      </w:r>
      <w:r w:rsidR="009C1D86" w:rsidRPr="006F2293">
        <w:rPr>
          <w:rFonts w:ascii="Times New Roman" w:hAnsi="Times New Roman" w:cs="Times New Roman"/>
        </w:rPr>
        <w:t xml:space="preserve"> </w:t>
      </w:r>
      <w:r w:rsidRPr="006F2293">
        <w:rPr>
          <w:rFonts w:ascii="Times New Roman" w:hAnsi="Times New Roman" w:cs="Times New Roman"/>
        </w:rPr>
        <w:t>results/scores remotely similar to derived personal information that is generated in a marketing context, where a person’s buying patterns/behaviors are tracked and used to create a profile that is sold to other marketers.  Indeed, the Proposed Regulations (at §999.305(d)), make it clear that such results cannot be “personal information at the time of collection” – obviously, test results/scores do not even exist at the time of collection of the consumer’s personal information related to the testing services.  An individual acquires (or obtains) testing service</w:t>
      </w:r>
      <w:r w:rsidR="00EA7E26" w:rsidRPr="006F2293">
        <w:rPr>
          <w:rFonts w:ascii="Times New Roman" w:hAnsi="Times New Roman" w:cs="Times New Roman"/>
        </w:rPr>
        <w:t xml:space="preserve">s </w:t>
      </w:r>
      <w:r w:rsidRPr="006F2293">
        <w:rPr>
          <w:rFonts w:ascii="Times New Roman" w:hAnsi="Times New Roman" w:cs="Times New Roman"/>
        </w:rPr>
        <w:t>whe</w:t>
      </w:r>
      <w:r w:rsidR="00EA7E26" w:rsidRPr="006F2293">
        <w:rPr>
          <w:rFonts w:ascii="Times New Roman" w:hAnsi="Times New Roman" w:cs="Times New Roman"/>
        </w:rPr>
        <w:t>n</w:t>
      </w:r>
      <w:r w:rsidRPr="006F2293">
        <w:rPr>
          <w:rFonts w:ascii="Times New Roman" w:hAnsi="Times New Roman" w:cs="Times New Roman"/>
        </w:rPr>
        <w:t xml:space="preserve"> test scores are the contracted for outcome or product.  What a testing organization does with those scores is governed by and disclosed to the test takers in the test taker agreement.       </w:t>
      </w:r>
    </w:p>
    <w:p w14:paraId="131B2740" w14:textId="77777777" w:rsidR="00322B2C" w:rsidRPr="00095EB0" w:rsidRDefault="00322B2C">
      <w:pPr>
        <w:pStyle w:val="FootnoteText"/>
      </w:pPr>
    </w:p>
  </w:footnote>
  <w:footnote w:id="10">
    <w:p w14:paraId="13BD702F" w14:textId="34CD7E55" w:rsidR="00322B2C" w:rsidRPr="00095EB0" w:rsidRDefault="00322B2C">
      <w:pPr>
        <w:pStyle w:val="FootnoteText"/>
        <w:rPr>
          <w:rFonts w:ascii="Times New Roman" w:hAnsi="Times New Roman" w:cs="Times New Roman"/>
        </w:rPr>
      </w:pPr>
      <w:r w:rsidRPr="00095EB0">
        <w:rPr>
          <w:rStyle w:val="FootnoteReference"/>
          <w:rFonts w:ascii="Times New Roman" w:hAnsi="Times New Roman" w:cs="Times New Roman"/>
        </w:rPr>
        <w:footnoteRef/>
      </w:r>
      <w:r w:rsidRPr="00095EB0">
        <w:rPr>
          <w:rFonts w:ascii="Times New Roman" w:hAnsi="Times New Roman" w:cs="Times New Roman"/>
        </w:rPr>
        <w:t xml:space="preserve">  This is true regardless of whether the individual pa</w:t>
      </w:r>
      <w:r w:rsidR="00EA7E26">
        <w:rPr>
          <w:rFonts w:ascii="Times New Roman" w:hAnsi="Times New Roman" w:cs="Times New Roman"/>
        </w:rPr>
        <w:t xml:space="preserve">ys </w:t>
      </w:r>
      <w:r w:rsidRPr="00095EB0">
        <w:rPr>
          <w:rFonts w:ascii="Times New Roman" w:hAnsi="Times New Roman" w:cs="Times New Roman"/>
        </w:rPr>
        <w:t xml:space="preserve">for the test; in some instances (e.g., employment, training) the employer may have paid for the test.  Even when an individual pays for the test, s/he authorizes the test owner to share the results/scores with certain designated recipients (e.g., schools to which the individual is applying, jobs for which the individual is applying, certification bodies from which the individual is seeking a license or certificate).  Either way, the need for a decision-maker, or multiple decision-makers, to obtain the test results/scores is precisely the reason why the individual registered for and took that test.  </w:t>
      </w:r>
    </w:p>
    <w:p w14:paraId="65857BCF" w14:textId="77777777" w:rsidR="00322B2C" w:rsidRPr="00095EB0" w:rsidRDefault="00322B2C">
      <w:pPr>
        <w:pStyle w:val="FootnoteText"/>
        <w:rPr>
          <w:rFonts w:ascii="Times New Roman" w:hAnsi="Times New Roman" w:cs="Times New Roman"/>
        </w:rPr>
      </w:pPr>
    </w:p>
  </w:footnote>
  <w:footnote w:id="11">
    <w:p w14:paraId="513A0829" w14:textId="1FBBAF00" w:rsidR="000B146B" w:rsidRDefault="000B146B">
      <w:pPr>
        <w:pStyle w:val="FootnoteText"/>
      </w:pPr>
      <w:r>
        <w:rPr>
          <w:rStyle w:val="FootnoteReference"/>
        </w:rPr>
        <w:footnoteRef/>
      </w:r>
      <w:r>
        <w:t xml:space="preserve"> </w:t>
      </w:r>
      <w:r w:rsidR="001E7B4B">
        <w:t>Proposed Regulations, §700</w:t>
      </w:r>
      <w:r w:rsidR="004D4879">
        <w:t xml:space="preserve">1(h). </w:t>
      </w:r>
    </w:p>
  </w:footnote>
  <w:footnote w:id="12">
    <w:p w14:paraId="6064C07B" w14:textId="7C9574DF" w:rsidR="00F96A0A" w:rsidRDefault="00F96A0A">
      <w:pPr>
        <w:pStyle w:val="FootnoteText"/>
        <w:rPr>
          <w:rFonts w:ascii="Times New Roman" w:hAnsi="Times New Roman" w:cs="Times New Roman"/>
          <w:i/>
          <w:sz w:val="24"/>
          <w:szCs w:val="24"/>
        </w:rPr>
      </w:pPr>
      <w:r>
        <w:rPr>
          <w:rStyle w:val="FootnoteReference"/>
        </w:rPr>
        <w:footnoteRef/>
      </w:r>
      <w:r>
        <w:t xml:space="preserve">  </w:t>
      </w:r>
      <w:r w:rsidRPr="005D5694">
        <w:rPr>
          <w:rFonts w:ascii="Times New Roman" w:hAnsi="Times New Roman" w:cs="Times New Roman"/>
          <w:sz w:val="24"/>
          <w:szCs w:val="24"/>
        </w:rPr>
        <w:t>The protection of the testing organization’s IP is also consistent with the usual terms contained in th</w:t>
      </w:r>
      <w:r>
        <w:rPr>
          <w:rFonts w:ascii="Times New Roman" w:hAnsi="Times New Roman" w:cs="Times New Roman"/>
          <w:sz w:val="24"/>
          <w:szCs w:val="24"/>
        </w:rPr>
        <w:t>e test taker agreement, so every test taker</w:t>
      </w:r>
      <w:r w:rsidRPr="005D5694">
        <w:rPr>
          <w:rFonts w:ascii="Times New Roman" w:hAnsi="Times New Roman" w:cs="Times New Roman"/>
          <w:sz w:val="24"/>
          <w:szCs w:val="24"/>
        </w:rPr>
        <w:t xml:space="preserve"> will have been put on notice about this restricted access</w:t>
      </w:r>
      <w:r>
        <w:rPr>
          <w:rFonts w:ascii="Times New Roman" w:hAnsi="Times New Roman" w:cs="Times New Roman"/>
          <w:sz w:val="24"/>
          <w:szCs w:val="24"/>
        </w:rPr>
        <w:t>.  As discussed in fn</w:t>
      </w:r>
      <w:r w:rsidR="001A7221">
        <w:rPr>
          <w:rFonts w:ascii="Times New Roman" w:hAnsi="Times New Roman" w:cs="Times New Roman"/>
          <w:sz w:val="24"/>
          <w:szCs w:val="24"/>
        </w:rPr>
        <w:t>.</w:t>
      </w:r>
      <w:r>
        <w:rPr>
          <w:rFonts w:ascii="Times New Roman" w:hAnsi="Times New Roman" w:cs="Times New Roman"/>
          <w:sz w:val="24"/>
          <w:szCs w:val="24"/>
        </w:rPr>
        <w:t xml:space="preserve"> 6, </w:t>
      </w:r>
      <w:r>
        <w:rPr>
          <w:rFonts w:ascii="Times New Roman" w:hAnsi="Times New Roman" w:cs="Times New Roman"/>
          <w:i/>
          <w:sz w:val="24"/>
          <w:szCs w:val="24"/>
        </w:rPr>
        <w:t xml:space="preserve">supra, </w:t>
      </w:r>
      <w:r>
        <w:rPr>
          <w:rFonts w:ascii="Times New Roman" w:hAnsi="Times New Roman" w:cs="Times New Roman"/>
          <w:sz w:val="24"/>
          <w:szCs w:val="24"/>
        </w:rPr>
        <w:t>test results/scores are likely to be considered by the testing organization to be at least in part covered IP, which will result in denial/partial denial of requests that would entail disclosure of the testing organization’s IP</w:t>
      </w:r>
      <w:r w:rsidR="00BF4360">
        <w:rPr>
          <w:rFonts w:ascii="Times New Roman" w:hAnsi="Times New Roman" w:cs="Times New Roman"/>
          <w:i/>
          <w:sz w:val="24"/>
          <w:szCs w:val="24"/>
        </w:rPr>
        <w:t>.</w:t>
      </w:r>
    </w:p>
    <w:p w14:paraId="0D48A0ED" w14:textId="77777777" w:rsidR="00BF4360" w:rsidRPr="00BF4360" w:rsidRDefault="00BF4360">
      <w:pPr>
        <w:pStyle w:val="FootnoteText"/>
        <w:rPr>
          <w:rFonts w:ascii="Times New Roman" w:hAnsi="Times New Roman" w:cs="Times New Roman"/>
          <w:i/>
          <w:sz w:val="24"/>
          <w:szCs w:val="24"/>
        </w:rPr>
      </w:pPr>
    </w:p>
  </w:footnote>
  <w:footnote w:id="13">
    <w:p w14:paraId="1F814569" w14:textId="27072C1A" w:rsidR="00D018FB" w:rsidRDefault="00D018FB" w:rsidP="00D018FB">
      <w:pPr>
        <w:pStyle w:val="FootnoteText"/>
        <w:rPr>
          <w:rFonts w:ascii="Times New Roman" w:hAnsi="Times New Roman" w:cs="Times New Roman"/>
          <w:sz w:val="24"/>
          <w:szCs w:val="24"/>
        </w:rPr>
      </w:pPr>
      <w:r w:rsidRPr="0094648A">
        <w:rPr>
          <w:rStyle w:val="FootnoteReference"/>
          <w:rFonts w:ascii="Times New Roman" w:hAnsi="Times New Roman" w:cs="Times New Roman"/>
          <w:sz w:val="24"/>
          <w:szCs w:val="24"/>
        </w:rPr>
        <w:footnoteRef/>
      </w:r>
      <w:r w:rsidRPr="0094648A">
        <w:rPr>
          <w:rFonts w:ascii="Times New Roman" w:hAnsi="Times New Roman" w:cs="Times New Roman"/>
          <w:sz w:val="24"/>
          <w:szCs w:val="24"/>
        </w:rPr>
        <w:t xml:space="preserve"> Except in the case of trade secrets, a business that owns other IP assets will have evidence of those rights</w:t>
      </w:r>
      <w:r>
        <w:rPr>
          <w:rFonts w:ascii="Times New Roman" w:hAnsi="Times New Roman" w:cs="Times New Roman"/>
          <w:sz w:val="24"/>
          <w:szCs w:val="24"/>
        </w:rPr>
        <w:t xml:space="preserve"> issued by the respective governmental body</w:t>
      </w:r>
      <w:r w:rsidRPr="0094648A">
        <w:rPr>
          <w:rFonts w:ascii="Times New Roman" w:hAnsi="Times New Roman" w:cs="Times New Roman"/>
          <w:sz w:val="24"/>
          <w:szCs w:val="24"/>
        </w:rPr>
        <w:t xml:space="preserve">.  The </w:t>
      </w:r>
      <w:r>
        <w:rPr>
          <w:rFonts w:ascii="Times New Roman" w:hAnsi="Times New Roman" w:cs="Times New Roman"/>
          <w:sz w:val="24"/>
          <w:szCs w:val="24"/>
        </w:rPr>
        <w:t xml:space="preserve">final regulations should merely </w:t>
      </w:r>
      <w:r w:rsidRPr="0094648A">
        <w:rPr>
          <w:rFonts w:ascii="Times New Roman" w:hAnsi="Times New Roman" w:cs="Times New Roman"/>
          <w:sz w:val="24"/>
          <w:szCs w:val="24"/>
        </w:rPr>
        <w:t>require the business to provide</w:t>
      </w:r>
      <w:r w:rsidR="0066687F">
        <w:rPr>
          <w:rFonts w:ascii="Times New Roman" w:hAnsi="Times New Roman" w:cs="Times New Roman"/>
          <w:sz w:val="24"/>
          <w:szCs w:val="24"/>
        </w:rPr>
        <w:t xml:space="preserve"> </w:t>
      </w:r>
      <w:r w:rsidRPr="0094648A">
        <w:rPr>
          <w:rFonts w:ascii="Times New Roman" w:hAnsi="Times New Roman" w:cs="Times New Roman"/>
          <w:sz w:val="24"/>
          <w:szCs w:val="24"/>
        </w:rPr>
        <w:t xml:space="preserve">publicly </w:t>
      </w:r>
      <w:r>
        <w:rPr>
          <w:rFonts w:ascii="Times New Roman" w:hAnsi="Times New Roman" w:cs="Times New Roman"/>
          <w:sz w:val="24"/>
          <w:szCs w:val="24"/>
        </w:rPr>
        <w:t>available information to justify</w:t>
      </w:r>
      <w:r w:rsidRPr="0094648A">
        <w:rPr>
          <w:rFonts w:ascii="Times New Roman" w:hAnsi="Times New Roman" w:cs="Times New Roman"/>
          <w:sz w:val="24"/>
          <w:szCs w:val="24"/>
        </w:rPr>
        <w:t xml:space="preserve"> its denial of the request.</w:t>
      </w:r>
    </w:p>
    <w:p w14:paraId="5933A927" w14:textId="77777777" w:rsidR="00F96A0A" w:rsidRPr="0094648A" w:rsidRDefault="00F96A0A" w:rsidP="00D018FB">
      <w:pPr>
        <w:pStyle w:val="FootnoteText"/>
        <w:rPr>
          <w:rFonts w:ascii="Times New Roman" w:hAnsi="Times New Roman" w:cs="Times New Roman"/>
          <w:sz w:val="24"/>
          <w:szCs w:val="24"/>
        </w:rPr>
      </w:pPr>
    </w:p>
  </w:footnote>
  <w:footnote w:id="14">
    <w:p w14:paraId="3A8BE6C8" w14:textId="357A2051" w:rsidR="00E36D15" w:rsidRPr="007A4A80" w:rsidRDefault="00E36D15" w:rsidP="00E36D15">
      <w:pPr>
        <w:pStyle w:val="FootnoteText"/>
        <w:rPr>
          <w:rFonts w:ascii="Times New Roman" w:hAnsi="Times New Roman" w:cs="Times New Roman"/>
          <w:sz w:val="24"/>
          <w:szCs w:val="24"/>
        </w:rPr>
      </w:pPr>
      <w:r>
        <w:rPr>
          <w:rStyle w:val="FootnoteReference"/>
        </w:rPr>
        <w:footnoteRef/>
      </w:r>
      <w:r>
        <w:t xml:space="preserve">  </w:t>
      </w:r>
      <w:r w:rsidRPr="007A4A80">
        <w:rPr>
          <w:rFonts w:ascii="Times New Roman" w:hAnsi="Times New Roman" w:cs="Times New Roman"/>
          <w:sz w:val="24"/>
          <w:szCs w:val="24"/>
        </w:rPr>
        <w:t xml:space="preserve">Testing organizations use sensitive test taker information that has been anonymized and aggregated to conduct research on building test norms based on various test taker populations, such as age or gender (i.e., the standard of performance on a test, as established by testing a large group of people and analyzing their scores; in norm-referenced testing, subsequent test takers’ scores are compared with the test norm to estimate the position of the tested individuals in a predefined population with respect to the competency, skill or trait being measured).  As for regulatory requirements, testing organizations providing testing services to employers must be able to </w:t>
      </w:r>
      <w:r w:rsidR="00E30B5A">
        <w:rPr>
          <w:rFonts w:ascii="Times New Roman" w:hAnsi="Times New Roman" w:cs="Times New Roman"/>
          <w:sz w:val="24"/>
          <w:szCs w:val="24"/>
        </w:rPr>
        <w:t xml:space="preserve">enable test user employers/customers to </w:t>
      </w:r>
      <w:r w:rsidRPr="007A4A80">
        <w:rPr>
          <w:rFonts w:ascii="Times New Roman" w:hAnsi="Times New Roman" w:cs="Times New Roman"/>
          <w:sz w:val="24"/>
          <w:szCs w:val="24"/>
        </w:rPr>
        <w:t xml:space="preserve">produce evidence </w:t>
      </w:r>
      <w:r w:rsidR="0066687F" w:rsidRPr="007A4A80">
        <w:rPr>
          <w:rFonts w:ascii="Times New Roman" w:hAnsi="Times New Roman" w:cs="Times New Roman"/>
          <w:sz w:val="24"/>
          <w:szCs w:val="24"/>
        </w:rPr>
        <w:t xml:space="preserve">to the EEOC or a court </w:t>
      </w:r>
      <w:r w:rsidRPr="007A4A80">
        <w:rPr>
          <w:rFonts w:ascii="Times New Roman" w:hAnsi="Times New Roman" w:cs="Times New Roman"/>
          <w:sz w:val="24"/>
          <w:szCs w:val="24"/>
        </w:rPr>
        <w:t>showing that use of a specific test</w:t>
      </w:r>
      <w:r w:rsidR="0066687F" w:rsidRPr="007A4A80">
        <w:rPr>
          <w:rFonts w:ascii="Times New Roman" w:hAnsi="Times New Roman" w:cs="Times New Roman"/>
          <w:sz w:val="24"/>
          <w:szCs w:val="24"/>
        </w:rPr>
        <w:t xml:space="preserve"> </w:t>
      </w:r>
      <w:r w:rsidRPr="007A4A80">
        <w:rPr>
          <w:rFonts w:ascii="Times New Roman" w:hAnsi="Times New Roman" w:cs="Times New Roman"/>
          <w:sz w:val="24"/>
          <w:szCs w:val="24"/>
        </w:rPr>
        <w:t xml:space="preserve">did not result in discriminatory outcomes or disparate impact on job applicants or employees in protected categories.   </w:t>
      </w:r>
      <w:r w:rsidRPr="007A4A80">
        <w:rPr>
          <w:rFonts w:ascii="Times New Roman" w:hAnsi="Times New Roman" w:cs="Times New Roman"/>
          <w:i/>
          <w:iCs/>
          <w:sz w:val="24"/>
          <w:szCs w:val="24"/>
        </w:rPr>
        <w:t xml:space="preserve">See Uniform Guidelines on Employee Selection Procedures, </w:t>
      </w:r>
      <w:r w:rsidRPr="007A4A80">
        <w:rPr>
          <w:rFonts w:ascii="Times New Roman" w:hAnsi="Times New Roman" w:cs="Times New Roman"/>
          <w:sz w:val="24"/>
          <w:szCs w:val="24"/>
        </w:rPr>
        <w:t xml:space="preserve">adopted by the US Equal Employment Opportunity Commission in 1978, found at 29 C.F.R. § 1607; the </w:t>
      </w:r>
      <w:r w:rsidRPr="007A4A80">
        <w:rPr>
          <w:rFonts w:ascii="Times New Roman" w:hAnsi="Times New Roman" w:cs="Times New Roman"/>
          <w:i/>
          <w:iCs/>
          <w:sz w:val="24"/>
          <w:szCs w:val="24"/>
        </w:rPr>
        <w:t xml:space="preserve">Uniform Guidelines </w:t>
      </w:r>
      <w:r w:rsidRPr="007A4A80">
        <w:rPr>
          <w:rFonts w:ascii="Times New Roman" w:hAnsi="Times New Roman" w:cs="Times New Roman"/>
          <w:sz w:val="24"/>
          <w:szCs w:val="24"/>
        </w:rPr>
        <w:t xml:space="preserve">also have been adopted and applied by the US Department of Justice and US Department of Labor, </w:t>
      </w:r>
      <w:r w:rsidR="006F5FDC" w:rsidRPr="007A4A80">
        <w:rPr>
          <w:rFonts w:ascii="Times New Roman" w:hAnsi="Times New Roman" w:cs="Times New Roman"/>
          <w:sz w:val="24"/>
          <w:szCs w:val="24"/>
        </w:rPr>
        <w:t xml:space="preserve">plus other federal and state agencies, </w:t>
      </w:r>
      <w:r w:rsidRPr="007A4A80">
        <w:rPr>
          <w:rFonts w:ascii="Times New Roman" w:hAnsi="Times New Roman" w:cs="Times New Roman"/>
          <w:sz w:val="24"/>
          <w:szCs w:val="24"/>
        </w:rPr>
        <w:t xml:space="preserve">as well as followed by numerous courts including by the US Supreme Court, </w:t>
      </w:r>
      <w:r w:rsidRPr="007A4A80">
        <w:rPr>
          <w:rFonts w:ascii="Times New Roman" w:hAnsi="Times New Roman" w:cs="Times New Roman"/>
          <w:i/>
          <w:iCs/>
          <w:sz w:val="24"/>
          <w:szCs w:val="24"/>
        </w:rPr>
        <w:t xml:space="preserve">see, e.g., Ricci v DeStefano, </w:t>
      </w:r>
      <w:r w:rsidRPr="007A4A80">
        <w:rPr>
          <w:rFonts w:ascii="Times New Roman" w:hAnsi="Times New Roman" w:cs="Times New Roman"/>
          <w:sz w:val="24"/>
          <w:szCs w:val="24"/>
        </w:rPr>
        <w:t>557 U.S., 557 (2007)</w:t>
      </w:r>
      <w:r w:rsidRPr="007A4A80">
        <w:rPr>
          <w:rFonts w:ascii="Times New Roman" w:hAnsi="Times New Roman" w:cs="Times New Roman"/>
          <w:i/>
          <w:iCs/>
          <w:sz w:val="24"/>
          <w:szCs w:val="24"/>
        </w:rPr>
        <w:t xml:space="preserve">. </w:t>
      </w:r>
      <w:r w:rsidRPr="007A4A80">
        <w:rPr>
          <w:rFonts w:ascii="Times New Roman" w:hAnsi="Times New Roman" w:cs="Times New Roman"/>
          <w:sz w:val="24"/>
          <w:szCs w:val="24"/>
        </w:rPr>
        <w:t xml:space="preserve"> Another example of the need for a testing organization to retain test taker personal information is to be able to defend itself from </w:t>
      </w:r>
      <w:r w:rsidR="006F5FDC" w:rsidRPr="007A4A80">
        <w:rPr>
          <w:rFonts w:ascii="Times New Roman" w:hAnsi="Times New Roman" w:cs="Times New Roman"/>
          <w:sz w:val="24"/>
          <w:szCs w:val="24"/>
        </w:rPr>
        <w:t xml:space="preserve">test taker </w:t>
      </w:r>
      <w:r w:rsidRPr="007A4A80">
        <w:rPr>
          <w:rFonts w:ascii="Times New Roman" w:hAnsi="Times New Roman" w:cs="Times New Roman"/>
          <w:sz w:val="24"/>
          <w:szCs w:val="24"/>
        </w:rPr>
        <w:t>claims of violating the Americans with Disabilities Act (</w:t>
      </w:r>
      <w:r w:rsidRPr="007A4A80">
        <w:rPr>
          <w:rFonts w:ascii="Times New Roman" w:hAnsi="Times New Roman" w:cs="Times New Roman"/>
          <w:i/>
          <w:iCs/>
          <w:sz w:val="24"/>
          <w:szCs w:val="24"/>
        </w:rPr>
        <w:t xml:space="preserve">see </w:t>
      </w:r>
      <w:r w:rsidRPr="007A4A80">
        <w:rPr>
          <w:rFonts w:ascii="Times New Roman" w:hAnsi="Times New Roman" w:cs="Times New Roman"/>
          <w:sz w:val="24"/>
          <w:szCs w:val="24"/>
        </w:rPr>
        <w:t xml:space="preserve">42 U.S.C. </w:t>
      </w:r>
      <m:oMath>
        <m:r>
          <w:rPr>
            <w:rFonts w:ascii="Cambria Math" w:hAnsi="Cambria Math" w:cs="Times New Roman"/>
            <w:sz w:val="24"/>
            <w:szCs w:val="24"/>
          </w:rPr>
          <m:t>§</m:t>
        </m:r>
      </m:oMath>
      <w:r w:rsidRPr="007A4A80">
        <w:rPr>
          <w:rFonts w:ascii="Times New Roman" w:eastAsiaTheme="minorEastAsia" w:hAnsi="Times New Roman" w:cs="Times New Roman"/>
          <w:sz w:val="24"/>
          <w:szCs w:val="24"/>
        </w:rPr>
        <w:t xml:space="preserve"> 12189).  </w:t>
      </w:r>
    </w:p>
  </w:footnote>
  <w:footnote w:id="15">
    <w:p w14:paraId="23FC18F7" w14:textId="0CB19835" w:rsidR="00E27611" w:rsidRPr="00981158" w:rsidRDefault="00E27611">
      <w:pPr>
        <w:pStyle w:val="FootnoteText"/>
        <w:rPr>
          <w:rFonts w:ascii="Times New Roman" w:hAnsi="Times New Roman" w:cs="Times New Roman"/>
        </w:rPr>
      </w:pPr>
      <w:r w:rsidRPr="00981158">
        <w:rPr>
          <w:rStyle w:val="FootnoteReference"/>
          <w:rFonts w:ascii="Times New Roman" w:hAnsi="Times New Roman" w:cs="Times New Roman"/>
        </w:rPr>
        <w:footnoteRef/>
      </w:r>
      <w:r w:rsidRPr="00981158">
        <w:rPr>
          <w:rFonts w:ascii="Times New Roman" w:hAnsi="Times New Roman" w:cs="Times New Roman"/>
        </w:rPr>
        <w:t xml:space="preserve"> </w:t>
      </w:r>
      <w:r w:rsidRPr="00981158">
        <w:rPr>
          <w:rFonts w:ascii="Times New Roman" w:hAnsi="Times New Roman" w:cs="Times New Roman"/>
          <w:i/>
          <w:iCs/>
        </w:rPr>
        <w:t xml:space="preserve">See, </w:t>
      </w:r>
      <w:r w:rsidRPr="00981158">
        <w:rPr>
          <w:rFonts w:ascii="Times New Roman" w:hAnsi="Times New Roman" w:cs="Times New Roman"/>
        </w:rPr>
        <w:t xml:space="preserve">IAPP article on these requests and compliance concerns: </w:t>
      </w:r>
      <w:hyperlink r:id="rId1" w:history="1">
        <w:r w:rsidRPr="00981158">
          <w:rPr>
            <w:rFonts w:ascii="Times New Roman" w:hAnsi="Times New Roman" w:cs="Times New Roman"/>
            <w:i/>
            <w:iCs/>
            <w:color w:val="0000FF"/>
            <w:u w:val="single"/>
          </w:rPr>
          <w:t>Why some data subject request services create compliance concerns (</w:t>
        </w:r>
        <w:r w:rsidRPr="00981158">
          <w:rPr>
            <w:rFonts w:ascii="Times New Roman" w:hAnsi="Times New Roman" w:cs="Times New Roman"/>
            <w:color w:val="0000FF"/>
            <w:u w:val="single"/>
          </w:rPr>
          <w:t>iapp.org)</w:t>
        </w:r>
      </w:hyperlink>
      <w:r w:rsidR="001A722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236"/>
    <w:multiLevelType w:val="hybridMultilevel"/>
    <w:tmpl w:val="695A0DC4"/>
    <w:lvl w:ilvl="0" w:tplc="9D5654E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66285"/>
    <w:multiLevelType w:val="hybridMultilevel"/>
    <w:tmpl w:val="61E4D048"/>
    <w:lvl w:ilvl="0" w:tplc="0409000F">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1E4615A5"/>
    <w:multiLevelType w:val="hybridMultilevel"/>
    <w:tmpl w:val="E2E0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87FF2"/>
    <w:multiLevelType w:val="multilevel"/>
    <w:tmpl w:val="52945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83FAB"/>
    <w:multiLevelType w:val="multilevel"/>
    <w:tmpl w:val="50EA7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02F71"/>
    <w:multiLevelType w:val="multilevel"/>
    <w:tmpl w:val="93E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D652F"/>
    <w:multiLevelType w:val="multilevel"/>
    <w:tmpl w:val="FF0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A20D06"/>
    <w:multiLevelType w:val="hybridMultilevel"/>
    <w:tmpl w:val="B6E400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DEE307B"/>
    <w:multiLevelType w:val="hybridMultilevel"/>
    <w:tmpl w:val="6C20A744"/>
    <w:lvl w:ilvl="0" w:tplc="ECA4D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F6E9F"/>
    <w:multiLevelType w:val="hybridMultilevel"/>
    <w:tmpl w:val="4DF6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90F2D"/>
    <w:multiLevelType w:val="hybridMultilevel"/>
    <w:tmpl w:val="5A4E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437A0"/>
    <w:multiLevelType w:val="hybridMultilevel"/>
    <w:tmpl w:val="6B425B2E"/>
    <w:lvl w:ilvl="0" w:tplc="52B44FFC">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B863705"/>
    <w:multiLevelType w:val="multilevel"/>
    <w:tmpl w:val="50EA7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723BD"/>
    <w:multiLevelType w:val="multilevel"/>
    <w:tmpl w:val="50EA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23976"/>
    <w:multiLevelType w:val="multilevel"/>
    <w:tmpl w:val="50EA7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EC3617"/>
    <w:multiLevelType w:val="hybridMultilevel"/>
    <w:tmpl w:val="657A6DB0"/>
    <w:lvl w:ilvl="0" w:tplc="92006C84">
      <w:start w:val="1"/>
      <w:numFmt w:val="decimal"/>
      <w:lvlText w:val="%1."/>
      <w:lvlJc w:val="left"/>
      <w:pPr>
        <w:ind w:left="810" w:hanging="360"/>
      </w:pPr>
      <w:rPr>
        <w:rFonts w:ascii="Times New Roman" w:hAnsi="Times New Roman" w:cs="Times New Roman" w:hint="default"/>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4384D31"/>
    <w:multiLevelType w:val="hybridMultilevel"/>
    <w:tmpl w:val="9B8259FE"/>
    <w:lvl w:ilvl="0" w:tplc="55481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43150"/>
    <w:multiLevelType w:val="hybridMultilevel"/>
    <w:tmpl w:val="F0080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A63A97"/>
    <w:multiLevelType w:val="multilevel"/>
    <w:tmpl w:val="C9A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76208"/>
    <w:multiLevelType w:val="hybridMultilevel"/>
    <w:tmpl w:val="7664524E"/>
    <w:lvl w:ilvl="0" w:tplc="FDEE40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134F2"/>
    <w:multiLevelType w:val="multilevel"/>
    <w:tmpl w:val="8676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946E2"/>
    <w:multiLevelType w:val="hybridMultilevel"/>
    <w:tmpl w:val="0154336A"/>
    <w:lvl w:ilvl="0" w:tplc="C63ED28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F7F5C49"/>
    <w:multiLevelType w:val="multilevel"/>
    <w:tmpl w:val="4F422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265271"/>
    <w:multiLevelType w:val="hybridMultilevel"/>
    <w:tmpl w:val="E5DE332E"/>
    <w:lvl w:ilvl="0" w:tplc="4E740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46433"/>
    <w:multiLevelType w:val="multilevel"/>
    <w:tmpl w:val="9F4CC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C27C7A"/>
    <w:multiLevelType w:val="multilevel"/>
    <w:tmpl w:val="2ED28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57BBB"/>
    <w:multiLevelType w:val="multilevel"/>
    <w:tmpl w:val="222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125057"/>
    <w:multiLevelType w:val="hybridMultilevel"/>
    <w:tmpl w:val="61E4D0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AC36F07"/>
    <w:multiLevelType w:val="hybridMultilevel"/>
    <w:tmpl w:val="025E2C58"/>
    <w:lvl w:ilvl="0" w:tplc="3B7C8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D951DB"/>
    <w:multiLevelType w:val="multilevel"/>
    <w:tmpl w:val="4A8E8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u w:val="non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435407">
    <w:abstractNumId w:val="20"/>
  </w:num>
  <w:num w:numId="2" w16cid:durableId="1712075033">
    <w:abstractNumId w:val="22"/>
  </w:num>
  <w:num w:numId="3" w16cid:durableId="1949854176">
    <w:abstractNumId w:val="3"/>
  </w:num>
  <w:num w:numId="4" w16cid:durableId="22904095">
    <w:abstractNumId w:val="24"/>
  </w:num>
  <w:num w:numId="5" w16cid:durableId="1736708949">
    <w:abstractNumId w:val="25"/>
  </w:num>
  <w:num w:numId="6" w16cid:durableId="768307972">
    <w:abstractNumId w:val="26"/>
  </w:num>
  <w:num w:numId="7" w16cid:durableId="632833521">
    <w:abstractNumId w:val="16"/>
  </w:num>
  <w:num w:numId="8" w16cid:durableId="763840934">
    <w:abstractNumId w:val="29"/>
  </w:num>
  <w:num w:numId="9" w16cid:durableId="311106805">
    <w:abstractNumId w:val="6"/>
  </w:num>
  <w:num w:numId="10" w16cid:durableId="1863131715">
    <w:abstractNumId w:val="10"/>
  </w:num>
  <w:num w:numId="11" w16cid:durableId="1626689576">
    <w:abstractNumId w:val="15"/>
  </w:num>
  <w:num w:numId="12" w16cid:durableId="474762853">
    <w:abstractNumId w:val="27"/>
  </w:num>
  <w:num w:numId="13" w16cid:durableId="1809320040">
    <w:abstractNumId w:val="1"/>
  </w:num>
  <w:num w:numId="14" w16cid:durableId="740174839">
    <w:abstractNumId w:val="7"/>
  </w:num>
  <w:num w:numId="15" w16cid:durableId="678433558">
    <w:abstractNumId w:val="9"/>
  </w:num>
  <w:num w:numId="16" w16cid:durableId="1691032212">
    <w:abstractNumId w:val="17"/>
  </w:num>
  <w:num w:numId="17" w16cid:durableId="1816947598">
    <w:abstractNumId w:val="11"/>
  </w:num>
  <w:num w:numId="18" w16cid:durableId="1396855540">
    <w:abstractNumId w:val="13"/>
  </w:num>
  <w:num w:numId="19" w16cid:durableId="626013097">
    <w:abstractNumId w:val="14"/>
  </w:num>
  <w:num w:numId="20" w16cid:durableId="1679313087">
    <w:abstractNumId w:val="4"/>
  </w:num>
  <w:num w:numId="21" w16cid:durableId="2076540895">
    <w:abstractNumId w:val="12"/>
  </w:num>
  <w:num w:numId="22" w16cid:durableId="786318977">
    <w:abstractNumId w:val="2"/>
  </w:num>
  <w:num w:numId="23" w16cid:durableId="313031874">
    <w:abstractNumId w:val="18"/>
  </w:num>
  <w:num w:numId="24" w16cid:durableId="65227799">
    <w:abstractNumId w:val="5"/>
  </w:num>
  <w:num w:numId="25" w16cid:durableId="1949920659">
    <w:abstractNumId w:val="19"/>
  </w:num>
  <w:num w:numId="26" w16cid:durableId="1053578682">
    <w:abstractNumId w:val="8"/>
  </w:num>
  <w:num w:numId="27" w16cid:durableId="1705984918">
    <w:abstractNumId w:val="28"/>
  </w:num>
  <w:num w:numId="28" w16cid:durableId="653918955">
    <w:abstractNumId w:val="23"/>
  </w:num>
  <w:num w:numId="29" w16cid:durableId="98837352">
    <w:abstractNumId w:val="0"/>
  </w:num>
  <w:num w:numId="30" w16cid:durableId="5058232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60"/>
    <w:rsid w:val="00000104"/>
    <w:rsid w:val="000033A7"/>
    <w:rsid w:val="00004345"/>
    <w:rsid w:val="000060CF"/>
    <w:rsid w:val="0000639E"/>
    <w:rsid w:val="00007D07"/>
    <w:rsid w:val="000121A7"/>
    <w:rsid w:val="000146B6"/>
    <w:rsid w:val="00014E66"/>
    <w:rsid w:val="00014F35"/>
    <w:rsid w:val="00015140"/>
    <w:rsid w:val="000167BF"/>
    <w:rsid w:val="000233DF"/>
    <w:rsid w:val="00023D49"/>
    <w:rsid w:val="00024F5C"/>
    <w:rsid w:val="0002732D"/>
    <w:rsid w:val="000274A0"/>
    <w:rsid w:val="000308D0"/>
    <w:rsid w:val="00030ABD"/>
    <w:rsid w:val="00031195"/>
    <w:rsid w:val="000314E5"/>
    <w:rsid w:val="000315B4"/>
    <w:rsid w:val="00033CD6"/>
    <w:rsid w:val="000358D7"/>
    <w:rsid w:val="00036743"/>
    <w:rsid w:val="000367A7"/>
    <w:rsid w:val="00036929"/>
    <w:rsid w:val="00037D48"/>
    <w:rsid w:val="000410F1"/>
    <w:rsid w:val="000425BF"/>
    <w:rsid w:val="00042617"/>
    <w:rsid w:val="0004331E"/>
    <w:rsid w:val="000433D0"/>
    <w:rsid w:val="000453ED"/>
    <w:rsid w:val="00046AC2"/>
    <w:rsid w:val="000478B0"/>
    <w:rsid w:val="00047FEC"/>
    <w:rsid w:val="00050E49"/>
    <w:rsid w:val="000521AA"/>
    <w:rsid w:val="00053975"/>
    <w:rsid w:val="0005726F"/>
    <w:rsid w:val="00060753"/>
    <w:rsid w:val="00061869"/>
    <w:rsid w:val="00062330"/>
    <w:rsid w:val="00062405"/>
    <w:rsid w:val="00062887"/>
    <w:rsid w:val="00065703"/>
    <w:rsid w:val="00066B06"/>
    <w:rsid w:val="000739D7"/>
    <w:rsid w:val="00073A28"/>
    <w:rsid w:val="00073A3B"/>
    <w:rsid w:val="000745DF"/>
    <w:rsid w:val="00075CCF"/>
    <w:rsid w:val="00080C6A"/>
    <w:rsid w:val="00080F9C"/>
    <w:rsid w:val="000817E1"/>
    <w:rsid w:val="0008551A"/>
    <w:rsid w:val="00086E3E"/>
    <w:rsid w:val="000911D8"/>
    <w:rsid w:val="00092F4E"/>
    <w:rsid w:val="00094B6D"/>
    <w:rsid w:val="00095EB0"/>
    <w:rsid w:val="00097451"/>
    <w:rsid w:val="000A14DD"/>
    <w:rsid w:val="000A1A4B"/>
    <w:rsid w:val="000A1E91"/>
    <w:rsid w:val="000A31B0"/>
    <w:rsid w:val="000A3570"/>
    <w:rsid w:val="000A3887"/>
    <w:rsid w:val="000A39E2"/>
    <w:rsid w:val="000A3A5C"/>
    <w:rsid w:val="000A6215"/>
    <w:rsid w:val="000A7FA0"/>
    <w:rsid w:val="000B146B"/>
    <w:rsid w:val="000B1511"/>
    <w:rsid w:val="000B257B"/>
    <w:rsid w:val="000B2CFE"/>
    <w:rsid w:val="000B2F81"/>
    <w:rsid w:val="000B3266"/>
    <w:rsid w:val="000B33A3"/>
    <w:rsid w:val="000B3471"/>
    <w:rsid w:val="000B3D4D"/>
    <w:rsid w:val="000B4230"/>
    <w:rsid w:val="000B51A6"/>
    <w:rsid w:val="000B6069"/>
    <w:rsid w:val="000C2801"/>
    <w:rsid w:val="000C303A"/>
    <w:rsid w:val="000C39F2"/>
    <w:rsid w:val="000C4495"/>
    <w:rsid w:val="000D2B3A"/>
    <w:rsid w:val="000D3AF7"/>
    <w:rsid w:val="000D3E0E"/>
    <w:rsid w:val="000D42A9"/>
    <w:rsid w:val="000D6AD1"/>
    <w:rsid w:val="000E12FD"/>
    <w:rsid w:val="000E4FD0"/>
    <w:rsid w:val="000E53B7"/>
    <w:rsid w:val="000E6173"/>
    <w:rsid w:val="000E78A1"/>
    <w:rsid w:val="000F0D4F"/>
    <w:rsid w:val="000F1AD6"/>
    <w:rsid w:val="000F1C2D"/>
    <w:rsid w:val="000F3951"/>
    <w:rsid w:val="000F7DB8"/>
    <w:rsid w:val="00100463"/>
    <w:rsid w:val="00102473"/>
    <w:rsid w:val="00102F95"/>
    <w:rsid w:val="001032ED"/>
    <w:rsid w:val="001050E6"/>
    <w:rsid w:val="001056D9"/>
    <w:rsid w:val="0011003B"/>
    <w:rsid w:val="00113B6A"/>
    <w:rsid w:val="00116F0F"/>
    <w:rsid w:val="00117363"/>
    <w:rsid w:val="001175C3"/>
    <w:rsid w:val="00122800"/>
    <w:rsid w:val="0012442D"/>
    <w:rsid w:val="00130CAA"/>
    <w:rsid w:val="0013259D"/>
    <w:rsid w:val="001330AF"/>
    <w:rsid w:val="00136861"/>
    <w:rsid w:val="00137459"/>
    <w:rsid w:val="00141069"/>
    <w:rsid w:val="00141BFD"/>
    <w:rsid w:val="001421D7"/>
    <w:rsid w:val="00143160"/>
    <w:rsid w:val="00146ECF"/>
    <w:rsid w:val="0014793F"/>
    <w:rsid w:val="00151814"/>
    <w:rsid w:val="00152CA7"/>
    <w:rsid w:val="00153D25"/>
    <w:rsid w:val="00153E24"/>
    <w:rsid w:val="001543C1"/>
    <w:rsid w:val="00154D86"/>
    <w:rsid w:val="00154FF3"/>
    <w:rsid w:val="001556C0"/>
    <w:rsid w:val="00156006"/>
    <w:rsid w:val="00156C89"/>
    <w:rsid w:val="001579BB"/>
    <w:rsid w:val="001603BC"/>
    <w:rsid w:val="00161353"/>
    <w:rsid w:val="00161949"/>
    <w:rsid w:val="00163BE9"/>
    <w:rsid w:val="001648C0"/>
    <w:rsid w:val="00166F9A"/>
    <w:rsid w:val="0016718B"/>
    <w:rsid w:val="00167773"/>
    <w:rsid w:val="00170C5A"/>
    <w:rsid w:val="001713B9"/>
    <w:rsid w:val="00172B5F"/>
    <w:rsid w:val="00173FFE"/>
    <w:rsid w:val="00176BE9"/>
    <w:rsid w:val="00177266"/>
    <w:rsid w:val="00180802"/>
    <w:rsid w:val="001814E3"/>
    <w:rsid w:val="00183CFB"/>
    <w:rsid w:val="00184068"/>
    <w:rsid w:val="00184510"/>
    <w:rsid w:val="00192A60"/>
    <w:rsid w:val="00192E01"/>
    <w:rsid w:val="00193677"/>
    <w:rsid w:val="00194C5C"/>
    <w:rsid w:val="001951C8"/>
    <w:rsid w:val="001A04F7"/>
    <w:rsid w:val="001A1438"/>
    <w:rsid w:val="001A1596"/>
    <w:rsid w:val="001A17B6"/>
    <w:rsid w:val="001A23D4"/>
    <w:rsid w:val="001A2910"/>
    <w:rsid w:val="001A6A51"/>
    <w:rsid w:val="001A712E"/>
    <w:rsid w:val="001A7221"/>
    <w:rsid w:val="001B1148"/>
    <w:rsid w:val="001B14FE"/>
    <w:rsid w:val="001B2732"/>
    <w:rsid w:val="001B2BD4"/>
    <w:rsid w:val="001B3643"/>
    <w:rsid w:val="001B3D4D"/>
    <w:rsid w:val="001B483E"/>
    <w:rsid w:val="001B56F7"/>
    <w:rsid w:val="001C0731"/>
    <w:rsid w:val="001C3D1B"/>
    <w:rsid w:val="001C4036"/>
    <w:rsid w:val="001C43BD"/>
    <w:rsid w:val="001C54CC"/>
    <w:rsid w:val="001C55FE"/>
    <w:rsid w:val="001C7A30"/>
    <w:rsid w:val="001D22C9"/>
    <w:rsid w:val="001D3CF2"/>
    <w:rsid w:val="001D478A"/>
    <w:rsid w:val="001E137F"/>
    <w:rsid w:val="001E1C08"/>
    <w:rsid w:val="001E1E2F"/>
    <w:rsid w:val="001E5285"/>
    <w:rsid w:val="001E7B4B"/>
    <w:rsid w:val="001E7F9E"/>
    <w:rsid w:val="001F087A"/>
    <w:rsid w:val="001F2C61"/>
    <w:rsid w:val="001F4A84"/>
    <w:rsid w:val="00200448"/>
    <w:rsid w:val="002027CA"/>
    <w:rsid w:val="00205413"/>
    <w:rsid w:val="00205687"/>
    <w:rsid w:val="00213C7A"/>
    <w:rsid w:val="00213CD2"/>
    <w:rsid w:val="002227EB"/>
    <w:rsid w:val="0022486F"/>
    <w:rsid w:val="00226332"/>
    <w:rsid w:val="00226805"/>
    <w:rsid w:val="00226A3E"/>
    <w:rsid w:val="002273B8"/>
    <w:rsid w:val="002314A5"/>
    <w:rsid w:val="00232876"/>
    <w:rsid w:val="00232B1D"/>
    <w:rsid w:val="00232C3B"/>
    <w:rsid w:val="002408CC"/>
    <w:rsid w:val="0024168A"/>
    <w:rsid w:val="002423E4"/>
    <w:rsid w:val="002431B9"/>
    <w:rsid w:val="00243255"/>
    <w:rsid w:val="00247C96"/>
    <w:rsid w:val="002510FD"/>
    <w:rsid w:val="00251CF6"/>
    <w:rsid w:val="00251D87"/>
    <w:rsid w:val="002526D4"/>
    <w:rsid w:val="00262500"/>
    <w:rsid w:val="0026436F"/>
    <w:rsid w:val="0027067C"/>
    <w:rsid w:val="0027195B"/>
    <w:rsid w:val="00275A42"/>
    <w:rsid w:val="00280220"/>
    <w:rsid w:val="0028050E"/>
    <w:rsid w:val="0028060F"/>
    <w:rsid w:val="00280D08"/>
    <w:rsid w:val="002825C8"/>
    <w:rsid w:val="00283098"/>
    <w:rsid w:val="00283171"/>
    <w:rsid w:val="002839B8"/>
    <w:rsid w:val="00285391"/>
    <w:rsid w:val="0028573B"/>
    <w:rsid w:val="00285FAE"/>
    <w:rsid w:val="0028684C"/>
    <w:rsid w:val="002873D5"/>
    <w:rsid w:val="002874D4"/>
    <w:rsid w:val="002877B7"/>
    <w:rsid w:val="002903C3"/>
    <w:rsid w:val="00290C60"/>
    <w:rsid w:val="002957A1"/>
    <w:rsid w:val="00296357"/>
    <w:rsid w:val="002A0418"/>
    <w:rsid w:val="002A0C18"/>
    <w:rsid w:val="002A10D4"/>
    <w:rsid w:val="002A2C0D"/>
    <w:rsid w:val="002A63CA"/>
    <w:rsid w:val="002A695B"/>
    <w:rsid w:val="002B2FA3"/>
    <w:rsid w:val="002B43ED"/>
    <w:rsid w:val="002B504A"/>
    <w:rsid w:val="002C0552"/>
    <w:rsid w:val="002C157A"/>
    <w:rsid w:val="002C2A66"/>
    <w:rsid w:val="002C2C4F"/>
    <w:rsid w:val="002C41E8"/>
    <w:rsid w:val="002C5D66"/>
    <w:rsid w:val="002C6CDF"/>
    <w:rsid w:val="002D3759"/>
    <w:rsid w:val="002D585E"/>
    <w:rsid w:val="002E0E55"/>
    <w:rsid w:val="002E3C88"/>
    <w:rsid w:val="002E56F5"/>
    <w:rsid w:val="002E6E42"/>
    <w:rsid w:val="002E7880"/>
    <w:rsid w:val="002F0098"/>
    <w:rsid w:val="002F121B"/>
    <w:rsid w:val="002F26E8"/>
    <w:rsid w:val="002F2F78"/>
    <w:rsid w:val="002F5122"/>
    <w:rsid w:val="002F53A7"/>
    <w:rsid w:val="002F559D"/>
    <w:rsid w:val="002F7926"/>
    <w:rsid w:val="002F7DFA"/>
    <w:rsid w:val="00301004"/>
    <w:rsid w:val="003021C3"/>
    <w:rsid w:val="0030263B"/>
    <w:rsid w:val="00302AD9"/>
    <w:rsid w:val="00303D9E"/>
    <w:rsid w:val="003057A5"/>
    <w:rsid w:val="00310110"/>
    <w:rsid w:val="003106B6"/>
    <w:rsid w:val="00315CF3"/>
    <w:rsid w:val="00316E81"/>
    <w:rsid w:val="00322B2C"/>
    <w:rsid w:val="00324BEC"/>
    <w:rsid w:val="0032634F"/>
    <w:rsid w:val="00326C0D"/>
    <w:rsid w:val="00332A0B"/>
    <w:rsid w:val="003330A8"/>
    <w:rsid w:val="0033587C"/>
    <w:rsid w:val="00340170"/>
    <w:rsid w:val="0034163D"/>
    <w:rsid w:val="003418D7"/>
    <w:rsid w:val="00341E07"/>
    <w:rsid w:val="003425DC"/>
    <w:rsid w:val="00342A9C"/>
    <w:rsid w:val="00343DC2"/>
    <w:rsid w:val="00350460"/>
    <w:rsid w:val="00350586"/>
    <w:rsid w:val="00351D20"/>
    <w:rsid w:val="003534AA"/>
    <w:rsid w:val="00353A3A"/>
    <w:rsid w:val="00353E9F"/>
    <w:rsid w:val="003549D4"/>
    <w:rsid w:val="00356BE9"/>
    <w:rsid w:val="00356FC7"/>
    <w:rsid w:val="00357891"/>
    <w:rsid w:val="00362DF1"/>
    <w:rsid w:val="00363C81"/>
    <w:rsid w:val="003661C0"/>
    <w:rsid w:val="00366F37"/>
    <w:rsid w:val="00370241"/>
    <w:rsid w:val="00373958"/>
    <w:rsid w:val="00375AA8"/>
    <w:rsid w:val="00375C56"/>
    <w:rsid w:val="00377BAF"/>
    <w:rsid w:val="00377C6F"/>
    <w:rsid w:val="00383919"/>
    <w:rsid w:val="00384306"/>
    <w:rsid w:val="0038486D"/>
    <w:rsid w:val="00385ACD"/>
    <w:rsid w:val="003872AD"/>
    <w:rsid w:val="00387477"/>
    <w:rsid w:val="003900AB"/>
    <w:rsid w:val="00393C05"/>
    <w:rsid w:val="00393FD2"/>
    <w:rsid w:val="003950E3"/>
    <w:rsid w:val="003960BE"/>
    <w:rsid w:val="003A04AD"/>
    <w:rsid w:val="003A1D08"/>
    <w:rsid w:val="003A32EE"/>
    <w:rsid w:val="003A5111"/>
    <w:rsid w:val="003A7811"/>
    <w:rsid w:val="003B0916"/>
    <w:rsid w:val="003B09F6"/>
    <w:rsid w:val="003B310D"/>
    <w:rsid w:val="003B6E2E"/>
    <w:rsid w:val="003B7643"/>
    <w:rsid w:val="003C02C9"/>
    <w:rsid w:val="003C20DF"/>
    <w:rsid w:val="003C250B"/>
    <w:rsid w:val="003C3227"/>
    <w:rsid w:val="003C3678"/>
    <w:rsid w:val="003C6BE9"/>
    <w:rsid w:val="003D0B15"/>
    <w:rsid w:val="003D173C"/>
    <w:rsid w:val="003D1ABC"/>
    <w:rsid w:val="003D1C7C"/>
    <w:rsid w:val="003D1EB1"/>
    <w:rsid w:val="003D1F52"/>
    <w:rsid w:val="003D2B2E"/>
    <w:rsid w:val="003D3959"/>
    <w:rsid w:val="003D7E95"/>
    <w:rsid w:val="003E11AB"/>
    <w:rsid w:val="003E15D0"/>
    <w:rsid w:val="003E228A"/>
    <w:rsid w:val="003E4720"/>
    <w:rsid w:val="003E579F"/>
    <w:rsid w:val="003E57FE"/>
    <w:rsid w:val="003F0AEA"/>
    <w:rsid w:val="003F0FBC"/>
    <w:rsid w:val="003F30FA"/>
    <w:rsid w:val="003F4CE6"/>
    <w:rsid w:val="003F561A"/>
    <w:rsid w:val="003F5CB8"/>
    <w:rsid w:val="003F5CBB"/>
    <w:rsid w:val="003F7141"/>
    <w:rsid w:val="004002F6"/>
    <w:rsid w:val="00400641"/>
    <w:rsid w:val="00400E5B"/>
    <w:rsid w:val="004036C2"/>
    <w:rsid w:val="00404A83"/>
    <w:rsid w:val="004067BA"/>
    <w:rsid w:val="00410C56"/>
    <w:rsid w:val="004112BD"/>
    <w:rsid w:val="004121BD"/>
    <w:rsid w:val="00414770"/>
    <w:rsid w:val="00417AF2"/>
    <w:rsid w:val="00423140"/>
    <w:rsid w:val="004246BC"/>
    <w:rsid w:val="00425129"/>
    <w:rsid w:val="0042534C"/>
    <w:rsid w:val="00425351"/>
    <w:rsid w:val="00425A36"/>
    <w:rsid w:val="00426C4E"/>
    <w:rsid w:val="00427E1F"/>
    <w:rsid w:val="004301FD"/>
    <w:rsid w:val="00431BF9"/>
    <w:rsid w:val="00432115"/>
    <w:rsid w:val="00432AD4"/>
    <w:rsid w:val="00433F25"/>
    <w:rsid w:val="0043496E"/>
    <w:rsid w:val="00435371"/>
    <w:rsid w:val="00435732"/>
    <w:rsid w:val="00436E85"/>
    <w:rsid w:val="004435C9"/>
    <w:rsid w:val="004444B6"/>
    <w:rsid w:val="00446A16"/>
    <w:rsid w:val="0045016E"/>
    <w:rsid w:val="004509DD"/>
    <w:rsid w:val="0045107E"/>
    <w:rsid w:val="004517F0"/>
    <w:rsid w:val="00452D40"/>
    <w:rsid w:val="00456B3E"/>
    <w:rsid w:val="0045718B"/>
    <w:rsid w:val="00460171"/>
    <w:rsid w:val="004610F6"/>
    <w:rsid w:val="004615A9"/>
    <w:rsid w:val="0046240E"/>
    <w:rsid w:val="0046371A"/>
    <w:rsid w:val="0046433C"/>
    <w:rsid w:val="0046465E"/>
    <w:rsid w:val="00464AD8"/>
    <w:rsid w:val="0046783E"/>
    <w:rsid w:val="00470486"/>
    <w:rsid w:val="0047096B"/>
    <w:rsid w:val="0047398D"/>
    <w:rsid w:val="0047583D"/>
    <w:rsid w:val="00477212"/>
    <w:rsid w:val="00482294"/>
    <w:rsid w:val="00482887"/>
    <w:rsid w:val="00486E5F"/>
    <w:rsid w:val="004872AD"/>
    <w:rsid w:val="00487D87"/>
    <w:rsid w:val="00490A0C"/>
    <w:rsid w:val="004910DB"/>
    <w:rsid w:val="00492765"/>
    <w:rsid w:val="00492A06"/>
    <w:rsid w:val="004951FD"/>
    <w:rsid w:val="00495BBA"/>
    <w:rsid w:val="004A6577"/>
    <w:rsid w:val="004A6D3C"/>
    <w:rsid w:val="004A7C55"/>
    <w:rsid w:val="004A7CCE"/>
    <w:rsid w:val="004B0126"/>
    <w:rsid w:val="004B0B9B"/>
    <w:rsid w:val="004B0BBA"/>
    <w:rsid w:val="004B0EB9"/>
    <w:rsid w:val="004B4C52"/>
    <w:rsid w:val="004C3272"/>
    <w:rsid w:val="004C34EA"/>
    <w:rsid w:val="004C36B3"/>
    <w:rsid w:val="004C458C"/>
    <w:rsid w:val="004C6240"/>
    <w:rsid w:val="004C67D6"/>
    <w:rsid w:val="004C77E7"/>
    <w:rsid w:val="004D3EAF"/>
    <w:rsid w:val="004D4879"/>
    <w:rsid w:val="004D515E"/>
    <w:rsid w:val="004D53CF"/>
    <w:rsid w:val="004D78C3"/>
    <w:rsid w:val="004E1EA1"/>
    <w:rsid w:val="004E226D"/>
    <w:rsid w:val="004E3D0E"/>
    <w:rsid w:val="004E3D5F"/>
    <w:rsid w:val="004E445A"/>
    <w:rsid w:val="004E614C"/>
    <w:rsid w:val="004E6973"/>
    <w:rsid w:val="004F05FF"/>
    <w:rsid w:val="004F2B0D"/>
    <w:rsid w:val="004F2DF6"/>
    <w:rsid w:val="004F4DCD"/>
    <w:rsid w:val="004F4E9D"/>
    <w:rsid w:val="004F5A72"/>
    <w:rsid w:val="004F5B07"/>
    <w:rsid w:val="004F7C7B"/>
    <w:rsid w:val="00500EA8"/>
    <w:rsid w:val="005015AC"/>
    <w:rsid w:val="005035A1"/>
    <w:rsid w:val="005044D3"/>
    <w:rsid w:val="00504579"/>
    <w:rsid w:val="005074C0"/>
    <w:rsid w:val="0051009C"/>
    <w:rsid w:val="00510F72"/>
    <w:rsid w:val="00514206"/>
    <w:rsid w:val="00515CF8"/>
    <w:rsid w:val="00520E8E"/>
    <w:rsid w:val="00522AA7"/>
    <w:rsid w:val="00524AFC"/>
    <w:rsid w:val="00527053"/>
    <w:rsid w:val="0053018A"/>
    <w:rsid w:val="0053474D"/>
    <w:rsid w:val="00540EE1"/>
    <w:rsid w:val="00547783"/>
    <w:rsid w:val="00547C24"/>
    <w:rsid w:val="00547F92"/>
    <w:rsid w:val="00551326"/>
    <w:rsid w:val="00554E71"/>
    <w:rsid w:val="0055503A"/>
    <w:rsid w:val="00557166"/>
    <w:rsid w:val="00563785"/>
    <w:rsid w:val="005639C1"/>
    <w:rsid w:val="00564496"/>
    <w:rsid w:val="00564631"/>
    <w:rsid w:val="00565B45"/>
    <w:rsid w:val="005661C8"/>
    <w:rsid w:val="00566216"/>
    <w:rsid w:val="00570D9C"/>
    <w:rsid w:val="00574A18"/>
    <w:rsid w:val="00574F0A"/>
    <w:rsid w:val="00575080"/>
    <w:rsid w:val="00575ECF"/>
    <w:rsid w:val="00576640"/>
    <w:rsid w:val="005827CE"/>
    <w:rsid w:val="00584F37"/>
    <w:rsid w:val="00586AB0"/>
    <w:rsid w:val="00586B04"/>
    <w:rsid w:val="00590815"/>
    <w:rsid w:val="0059172E"/>
    <w:rsid w:val="0059176B"/>
    <w:rsid w:val="005A0EA8"/>
    <w:rsid w:val="005A1AA8"/>
    <w:rsid w:val="005A298D"/>
    <w:rsid w:val="005A2BE3"/>
    <w:rsid w:val="005A335F"/>
    <w:rsid w:val="005A5D70"/>
    <w:rsid w:val="005A65E6"/>
    <w:rsid w:val="005A78B0"/>
    <w:rsid w:val="005B008B"/>
    <w:rsid w:val="005B0820"/>
    <w:rsid w:val="005B1598"/>
    <w:rsid w:val="005B1CED"/>
    <w:rsid w:val="005B21C8"/>
    <w:rsid w:val="005B27B4"/>
    <w:rsid w:val="005B302B"/>
    <w:rsid w:val="005B349B"/>
    <w:rsid w:val="005B5306"/>
    <w:rsid w:val="005B6518"/>
    <w:rsid w:val="005B6AC3"/>
    <w:rsid w:val="005B6E03"/>
    <w:rsid w:val="005B6F4D"/>
    <w:rsid w:val="005C05DD"/>
    <w:rsid w:val="005C0657"/>
    <w:rsid w:val="005C1E68"/>
    <w:rsid w:val="005C3114"/>
    <w:rsid w:val="005C712F"/>
    <w:rsid w:val="005D1117"/>
    <w:rsid w:val="005D2539"/>
    <w:rsid w:val="005D267C"/>
    <w:rsid w:val="005D2E98"/>
    <w:rsid w:val="005D4444"/>
    <w:rsid w:val="005D5694"/>
    <w:rsid w:val="005D5EE5"/>
    <w:rsid w:val="005E30FD"/>
    <w:rsid w:val="005E506E"/>
    <w:rsid w:val="005E6C43"/>
    <w:rsid w:val="005F08EC"/>
    <w:rsid w:val="005F1C87"/>
    <w:rsid w:val="005F663E"/>
    <w:rsid w:val="00600AE2"/>
    <w:rsid w:val="0060360A"/>
    <w:rsid w:val="006050CD"/>
    <w:rsid w:val="00605DA9"/>
    <w:rsid w:val="00605DD8"/>
    <w:rsid w:val="006064FB"/>
    <w:rsid w:val="00606FE8"/>
    <w:rsid w:val="00611AD4"/>
    <w:rsid w:val="00612199"/>
    <w:rsid w:val="00612C5D"/>
    <w:rsid w:val="0061629A"/>
    <w:rsid w:val="00621253"/>
    <w:rsid w:val="0062158E"/>
    <w:rsid w:val="00623123"/>
    <w:rsid w:val="00624147"/>
    <w:rsid w:val="00625D1D"/>
    <w:rsid w:val="00626864"/>
    <w:rsid w:val="006268FB"/>
    <w:rsid w:val="006301E7"/>
    <w:rsid w:val="00630684"/>
    <w:rsid w:val="006306D0"/>
    <w:rsid w:val="00630D11"/>
    <w:rsid w:val="00631143"/>
    <w:rsid w:val="006314C1"/>
    <w:rsid w:val="00633B38"/>
    <w:rsid w:val="0063510D"/>
    <w:rsid w:val="00635163"/>
    <w:rsid w:val="0064256F"/>
    <w:rsid w:val="006425A9"/>
    <w:rsid w:val="0064292B"/>
    <w:rsid w:val="00642C8A"/>
    <w:rsid w:val="0064449B"/>
    <w:rsid w:val="006453E1"/>
    <w:rsid w:val="006476FA"/>
    <w:rsid w:val="006506C0"/>
    <w:rsid w:val="00650F66"/>
    <w:rsid w:val="006563B8"/>
    <w:rsid w:val="00656D04"/>
    <w:rsid w:val="006619B8"/>
    <w:rsid w:val="006643DC"/>
    <w:rsid w:val="0066467E"/>
    <w:rsid w:val="00666070"/>
    <w:rsid w:val="0066687F"/>
    <w:rsid w:val="00666EAD"/>
    <w:rsid w:val="00667255"/>
    <w:rsid w:val="0067092A"/>
    <w:rsid w:val="006721E4"/>
    <w:rsid w:val="00675757"/>
    <w:rsid w:val="00675C2F"/>
    <w:rsid w:val="006800BA"/>
    <w:rsid w:val="00681B8E"/>
    <w:rsid w:val="00681D4C"/>
    <w:rsid w:val="00682B74"/>
    <w:rsid w:val="006831D8"/>
    <w:rsid w:val="00684316"/>
    <w:rsid w:val="00686848"/>
    <w:rsid w:val="00690054"/>
    <w:rsid w:val="00690D20"/>
    <w:rsid w:val="00691825"/>
    <w:rsid w:val="006928E2"/>
    <w:rsid w:val="00694CA6"/>
    <w:rsid w:val="00694F99"/>
    <w:rsid w:val="00696577"/>
    <w:rsid w:val="00697BFD"/>
    <w:rsid w:val="00697FB5"/>
    <w:rsid w:val="006A2658"/>
    <w:rsid w:val="006A2F3F"/>
    <w:rsid w:val="006A2F76"/>
    <w:rsid w:val="006A38B5"/>
    <w:rsid w:val="006A4619"/>
    <w:rsid w:val="006A468D"/>
    <w:rsid w:val="006A4C2F"/>
    <w:rsid w:val="006A5398"/>
    <w:rsid w:val="006A7885"/>
    <w:rsid w:val="006A7F69"/>
    <w:rsid w:val="006B2398"/>
    <w:rsid w:val="006B2CFD"/>
    <w:rsid w:val="006B372A"/>
    <w:rsid w:val="006B38E4"/>
    <w:rsid w:val="006B3A18"/>
    <w:rsid w:val="006B3B12"/>
    <w:rsid w:val="006B7B1D"/>
    <w:rsid w:val="006C04C0"/>
    <w:rsid w:val="006C12AF"/>
    <w:rsid w:val="006C1877"/>
    <w:rsid w:val="006C5806"/>
    <w:rsid w:val="006C5AA5"/>
    <w:rsid w:val="006C6A50"/>
    <w:rsid w:val="006C749B"/>
    <w:rsid w:val="006D0F69"/>
    <w:rsid w:val="006D4559"/>
    <w:rsid w:val="006D4A3C"/>
    <w:rsid w:val="006D7368"/>
    <w:rsid w:val="006E1647"/>
    <w:rsid w:val="006E18FC"/>
    <w:rsid w:val="006E1A75"/>
    <w:rsid w:val="006E36A2"/>
    <w:rsid w:val="006E423F"/>
    <w:rsid w:val="006E4A6F"/>
    <w:rsid w:val="006E4B29"/>
    <w:rsid w:val="006F15E4"/>
    <w:rsid w:val="006F1FF9"/>
    <w:rsid w:val="006F2293"/>
    <w:rsid w:val="006F257F"/>
    <w:rsid w:val="006F33FB"/>
    <w:rsid w:val="006F4E65"/>
    <w:rsid w:val="006F559C"/>
    <w:rsid w:val="006F5FDC"/>
    <w:rsid w:val="006F69BD"/>
    <w:rsid w:val="006F6AE6"/>
    <w:rsid w:val="006F6E62"/>
    <w:rsid w:val="006F750D"/>
    <w:rsid w:val="006F768F"/>
    <w:rsid w:val="00700DD3"/>
    <w:rsid w:val="00701E41"/>
    <w:rsid w:val="007058EC"/>
    <w:rsid w:val="0070599B"/>
    <w:rsid w:val="00706135"/>
    <w:rsid w:val="00706A3F"/>
    <w:rsid w:val="00707110"/>
    <w:rsid w:val="0071180F"/>
    <w:rsid w:val="007124EE"/>
    <w:rsid w:val="00712C92"/>
    <w:rsid w:val="00713D94"/>
    <w:rsid w:val="00714025"/>
    <w:rsid w:val="00714C63"/>
    <w:rsid w:val="00720B5E"/>
    <w:rsid w:val="00721018"/>
    <w:rsid w:val="0072276D"/>
    <w:rsid w:val="0072324A"/>
    <w:rsid w:val="00723389"/>
    <w:rsid w:val="00723E5B"/>
    <w:rsid w:val="00725E0B"/>
    <w:rsid w:val="007308F2"/>
    <w:rsid w:val="007345BA"/>
    <w:rsid w:val="00736C05"/>
    <w:rsid w:val="00736FF6"/>
    <w:rsid w:val="00737479"/>
    <w:rsid w:val="00741931"/>
    <w:rsid w:val="00743C1E"/>
    <w:rsid w:val="007469EA"/>
    <w:rsid w:val="00746A3D"/>
    <w:rsid w:val="00747F0C"/>
    <w:rsid w:val="00750512"/>
    <w:rsid w:val="00751AC1"/>
    <w:rsid w:val="007527CE"/>
    <w:rsid w:val="00752EE3"/>
    <w:rsid w:val="00756A86"/>
    <w:rsid w:val="00757598"/>
    <w:rsid w:val="00760811"/>
    <w:rsid w:val="007627AF"/>
    <w:rsid w:val="00767343"/>
    <w:rsid w:val="007711C1"/>
    <w:rsid w:val="00772F6C"/>
    <w:rsid w:val="0077551F"/>
    <w:rsid w:val="0077574C"/>
    <w:rsid w:val="00775BF1"/>
    <w:rsid w:val="00776F2E"/>
    <w:rsid w:val="00777106"/>
    <w:rsid w:val="007774E6"/>
    <w:rsid w:val="007776F7"/>
    <w:rsid w:val="00781EC8"/>
    <w:rsid w:val="007822F4"/>
    <w:rsid w:val="00784565"/>
    <w:rsid w:val="0078531B"/>
    <w:rsid w:val="0078542F"/>
    <w:rsid w:val="007867DB"/>
    <w:rsid w:val="0078694D"/>
    <w:rsid w:val="007909C3"/>
    <w:rsid w:val="00796350"/>
    <w:rsid w:val="00796C46"/>
    <w:rsid w:val="00797A98"/>
    <w:rsid w:val="00797FD8"/>
    <w:rsid w:val="007A1383"/>
    <w:rsid w:val="007A26AA"/>
    <w:rsid w:val="007A4A80"/>
    <w:rsid w:val="007A5052"/>
    <w:rsid w:val="007A6C63"/>
    <w:rsid w:val="007A7125"/>
    <w:rsid w:val="007A745A"/>
    <w:rsid w:val="007A78F9"/>
    <w:rsid w:val="007B25D2"/>
    <w:rsid w:val="007B2CBA"/>
    <w:rsid w:val="007B30A3"/>
    <w:rsid w:val="007B325A"/>
    <w:rsid w:val="007B386E"/>
    <w:rsid w:val="007C0927"/>
    <w:rsid w:val="007D1613"/>
    <w:rsid w:val="007D34E9"/>
    <w:rsid w:val="007D44BF"/>
    <w:rsid w:val="007D4D2A"/>
    <w:rsid w:val="007D5157"/>
    <w:rsid w:val="007D616F"/>
    <w:rsid w:val="007E0D07"/>
    <w:rsid w:val="007E2B26"/>
    <w:rsid w:val="007E323A"/>
    <w:rsid w:val="007E3C55"/>
    <w:rsid w:val="007E3EE4"/>
    <w:rsid w:val="007E73A4"/>
    <w:rsid w:val="007F1A4E"/>
    <w:rsid w:val="007F1B2C"/>
    <w:rsid w:val="007F2219"/>
    <w:rsid w:val="007F26E0"/>
    <w:rsid w:val="007F4F56"/>
    <w:rsid w:val="007F625C"/>
    <w:rsid w:val="007F6429"/>
    <w:rsid w:val="008000E6"/>
    <w:rsid w:val="00800C4A"/>
    <w:rsid w:val="00804A30"/>
    <w:rsid w:val="008065AE"/>
    <w:rsid w:val="008073AC"/>
    <w:rsid w:val="00807B50"/>
    <w:rsid w:val="00807E64"/>
    <w:rsid w:val="008137FD"/>
    <w:rsid w:val="008157A3"/>
    <w:rsid w:val="00815D3A"/>
    <w:rsid w:val="00815DC6"/>
    <w:rsid w:val="008160C9"/>
    <w:rsid w:val="008205BE"/>
    <w:rsid w:val="008224C8"/>
    <w:rsid w:val="00825114"/>
    <w:rsid w:val="00825150"/>
    <w:rsid w:val="00825431"/>
    <w:rsid w:val="0082696E"/>
    <w:rsid w:val="00826A48"/>
    <w:rsid w:val="00827E1F"/>
    <w:rsid w:val="00827E98"/>
    <w:rsid w:val="00830D34"/>
    <w:rsid w:val="00832019"/>
    <w:rsid w:val="00836025"/>
    <w:rsid w:val="0083612F"/>
    <w:rsid w:val="00836D3F"/>
    <w:rsid w:val="0084082F"/>
    <w:rsid w:val="00842742"/>
    <w:rsid w:val="0084433B"/>
    <w:rsid w:val="0084539E"/>
    <w:rsid w:val="008464DE"/>
    <w:rsid w:val="00850B4F"/>
    <w:rsid w:val="00853879"/>
    <w:rsid w:val="00854AFF"/>
    <w:rsid w:val="00856A6A"/>
    <w:rsid w:val="00856BC8"/>
    <w:rsid w:val="00856EA8"/>
    <w:rsid w:val="00857C13"/>
    <w:rsid w:val="00863A3C"/>
    <w:rsid w:val="00865EC4"/>
    <w:rsid w:val="00867253"/>
    <w:rsid w:val="00867D21"/>
    <w:rsid w:val="00871640"/>
    <w:rsid w:val="00872086"/>
    <w:rsid w:val="008741C1"/>
    <w:rsid w:val="008809C5"/>
    <w:rsid w:val="00880B75"/>
    <w:rsid w:val="00884ACC"/>
    <w:rsid w:val="00885F5D"/>
    <w:rsid w:val="00887459"/>
    <w:rsid w:val="00887EAF"/>
    <w:rsid w:val="00887F45"/>
    <w:rsid w:val="00892D60"/>
    <w:rsid w:val="00897B00"/>
    <w:rsid w:val="008A00F9"/>
    <w:rsid w:val="008A3E57"/>
    <w:rsid w:val="008A69D0"/>
    <w:rsid w:val="008A6F6D"/>
    <w:rsid w:val="008B0608"/>
    <w:rsid w:val="008B0D88"/>
    <w:rsid w:val="008B107F"/>
    <w:rsid w:val="008B7EE8"/>
    <w:rsid w:val="008C0655"/>
    <w:rsid w:val="008C0C72"/>
    <w:rsid w:val="008C0E89"/>
    <w:rsid w:val="008C3774"/>
    <w:rsid w:val="008C52DF"/>
    <w:rsid w:val="008D04E2"/>
    <w:rsid w:val="008D07EF"/>
    <w:rsid w:val="008D1CCE"/>
    <w:rsid w:val="008D2C75"/>
    <w:rsid w:val="008D3747"/>
    <w:rsid w:val="008D4697"/>
    <w:rsid w:val="008D4D50"/>
    <w:rsid w:val="008D4F08"/>
    <w:rsid w:val="008D5888"/>
    <w:rsid w:val="008E07E4"/>
    <w:rsid w:val="008E2D94"/>
    <w:rsid w:val="008E2FBE"/>
    <w:rsid w:val="008E41C2"/>
    <w:rsid w:val="008E53B7"/>
    <w:rsid w:val="008E5F9B"/>
    <w:rsid w:val="008E6F57"/>
    <w:rsid w:val="008F02AB"/>
    <w:rsid w:val="008F207C"/>
    <w:rsid w:val="008F6C8C"/>
    <w:rsid w:val="0090234D"/>
    <w:rsid w:val="00904564"/>
    <w:rsid w:val="00905641"/>
    <w:rsid w:val="009074C5"/>
    <w:rsid w:val="00907E91"/>
    <w:rsid w:val="009129CB"/>
    <w:rsid w:val="00912C42"/>
    <w:rsid w:val="0091493E"/>
    <w:rsid w:val="00915A9A"/>
    <w:rsid w:val="0091764D"/>
    <w:rsid w:val="00920C8E"/>
    <w:rsid w:val="00921E20"/>
    <w:rsid w:val="00923D6F"/>
    <w:rsid w:val="009304DE"/>
    <w:rsid w:val="00930F34"/>
    <w:rsid w:val="00934A02"/>
    <w:rsid w:val="00940DBC"/>
    <w:rsid w:val="009410DA"/>
    <w:rsid w:val="009446F6"/>
    <w:rsid w:val="009447D0"/>
    <w:rsid w:val="00945E3D"/>
    <w:rsid w:val="0094648A"/>
    <w:rsid w:val="00950F3A"/>
    <w:rsid w:val="00951133"/>
    <w:rsid w:val="00953B6A"/>
    <w:rsid w:val="00953F10"/>
    <w:rsid w:val="0095473F"/>
    <w:rsid w:val="00955DED"/>
    <w:rsid w:val="00960533"/>
    <w:rsid w:val="00961573"/>
    <w:rsid w:val="00961C58"/>
    <w:rsid w:val="009629F8"/>
    <w:rsid w:val="00962C7A"/>
    <w:rsid w:val="00963413"/>
    <w:rsid w:val="0096478A"/>
    <w:rsid w:val="00965266"/>
    <w:rsid w:val="00971A59"/>
    <w:rsid w:val="0097359E"/>
    <w:rsid w:val="00973F37"/>
    <w:rsid w:val="0097415B"/>
    <w:rsid w:val="0097735F"/>
    <w:rsid w:val="00977F67"/>
    <w:rsid w:val="00980688"/>
    <w:rsid w:val="00981158"/>
    <w:rsid w:val="0098142D"/>
    <w:rsid w:val="00981913"/>
    <w:rsid w:val="00981956"/>
    <w:rsid w:val="009830E3"/>
    <w:rsid w:val="009835CB"/>
    <w:rsid w:val="00983B78"/>
    <w:rsid w:val="0098558D"/>
    <w:rsid w:val="009867F3"/>
    <w:rsid w:val="0099160B"/>
    <w:rsid w:val="009A08D5"/>
    <w:rsid w:val="009A1308"/>
    <w:rsid w:val="009A2777"/>
    <w:rsid w:val="009A3723"/>
    <w:rsid w:val="009A4818"/>
    <w:rsid w:val="009A5814"/>
    <w:rsid w:val="009B0F3F"/>
    <w:rsid w:val="009B3881"/>
    <w:rsid w:val="009B4935"/>
    <w:rsid w:val="009B4CDB"/>
    <w:rsid w:val="009B54A4"/>
    <w:rsid w:val="009B55AE"/>
    <w:rsid w:val="009B5978"/>
    <w:rsid w:val="009B6592"/>
    <w:rsid w:val="009C0568"/>
    <w:rsid w:val="009C0E17"/>
    <w:rsid w:val="009C1A2E"/>
    <w:rsid w:val="009C1D86"/>
    <w:rsid w:val="009C2D8C"/>
    <w:rsid w:val="009C356A"/>
    <w:rsid w:val="009C39DB"/>
    <w:rsid w:val="009C5C40"/>
    <w:rsid w:val="009C6114"/>
    <w:rsid w:val="009D3D6E"/>
    <w:rsid w:val="009D7B0B"/>
    <w:rsid w:val="009E15F4"/>
    <w:rsid w:val="009E39AE"/>
    <w:rsid w:val="009E45EE"/>
    <w:rsid w:val="009E6E1F"/>
    <w:rsid w:val="009E7BB7"/>
    <w:rsid w:val="009E7E50"/>
    <w:rsid w:val="009F0034"/>
    <w:rsid w:val="009F202B"/>
    <w:rsid w:val="009F4D54"/>
    <w:rsid w:val="009F4F66"/>
    <w:rsid w:val="009F52E1"/>
    <w:rsid w:val="009F6075"/>
    <w:rsid w:val="009F704D"/>
    <w:rsid w:val="009F7450"/>
    <w:rsid w:val="00A00061"/>
    <w:rsid w:val="00A009C4"/>
    <w:rsid w:val="00A00B16"/>
    <w:rsid w:val="00A01D82"/>
    <w:rsid w:val="00A03E8E"/>
    <w:rsid w:val="00A05643"/>
    <w:rsid w:val="00A0689D"/>
    <w:rsid w:val="00A07904"/>
    <w:rsid w:val="00A07EC3"/>
    <w:rsid w:val="00A170F0"/>
    <w:rsid w:val="00A20D0B"/>
    <w:rsid w:val="00A21149"/>
    <w:rsid w:val="00A2282E"/>
    <w:rsid w:val="00A245A3"/>
    <w:rsid w:val="00A26798"/>
    <w:rsid w:val="00A26FA7"/>
    <w:rsid w:val="00A3229A"/>
    <w:rsid w:val="00A33B43"/>
    <w:rsid w:val="00A33E7A"/>
    <w:rsid w:val="00A34810"/>
    <w:rsid w:val="00A35D46"/>
    <w:rsid w:val="00A43064"/>
    <w:rsid w:val="00A449D9"/>
    <w:rsid w:val="00A45627"/>
    <w:rsid w:val="00A4677F"/>
    <w:rsid w:val="00A467DF"/>
    <w:rsid w:val="00A54AD7"/>
    <w:rsid w:val="00A557F7"/>
    <w:rsid w:val="00A562D4"/>
    <w:rsid w:val="00A56970"/>
    <w:rsid w:val="00A56E7F"/>
    <w:rsid w:val="00A6010B"/>
    <w:rsid w:val="00A60441"/>
    <w:rsid w:val="00A61F8A"/>
    <w:rsid w:val="00A63AD4"/>
    <w:rsid w:val="00A63BC1"/>
    <w:rsid w:val="00A67201"/>
    <w:rsid w:val="00A70C48"/>
    <w:rsid w:val="00A71D9D"/>
    <w:rsid w:val="00A73F11"/>
    <w:rsid w:val="00A77747"/>
    <w:rsid w:val="00A8376C"/>
    <w:rsid w:val="00A85B03"/>
    <w:rsid w:val="00A86112"/>
    <w:rsid w:val="00A86D2D"/>
    <w:rsid w:val="00A870BC"/>
    <w:rsid w:val="00A90912"/>
    <w:rsid w:val="00A90D2D"/>
    <w:rsid w:val="00A90E35"/>
    <w:rsid w:val="00A93451"/>
    <w:rsid w:val="00A93EF7"/>
    <w:rsid w:val="00A944AB"/>
    <w:rsid w:val="00A946DA"/>
    <w:rsid w:val="00A96F8A"/>
    <w:rsid w:val="00A9706C"/>
    <w:rsid w:val="00AA0547"/>
    <w:rsid w:val="00AA2994"/>
    <w:rsid w:val="00AA3F0E"/>
    <w:rsid w:val="00AB0BDC"/>
    <w:rsid w:val="00AB170A"/>
    <w:rsid w:val="00AB3D22"/>
    <w:rsid w:val="00AB5FA6"/>
    <w:rsid w:val="00AB7DA4"/>
    <w:rsid w:val="00AC1ABD"/>
    <w:rsid w:val="00AC20CB"/>
    <w:rsid w:val="00AC6046"/>
    <w:rsid w:val="00AC7457"/>
    <w:rsid w:val="00AC7EDF"/>
    <w:rsid w:val="00AC7F6B"/>
    <w:rsid w:val="00AD0876"/>
    <w:rsid w:val="00AD0968"/>
    <w:rsid w:val="00AD17E7"/>
    <w:rsid w:val="00AD1E8E"/>
    <w:rsid w:val="00AD2D2D"/>
    <w:rsid w:val="00AD3D33"/>
    <w:rsid w:val="00AD454D"/>
    <w:rsid w:val="00AD7C2F"/>
    <w:rsid w:val="00AF1305"/>
    <w:rsid w:val="00AF19DD"/>
    <w:rsid w:val="00AF4E29"/>
    <w:rsid w:val="00AF7B32"/>
    <w:rsid w:val="00B00786"/>
    <w:rsid w:val="00B0480B"/>
    <w:rsid w:val="00B0556F"/>
    <w:rsid w:val="00B059E5"/>
    <w:rsid w:val="00B076B2"/>
    <w:rsid w:val="00B1120F"/>
    <w:rsid w:val="00B120FC"/>
    <w:rsid w:val="00B15F0D"/>
    <w:rsid w:val="00B162B8"/>
    <w:rsid w:val="00B2004D"/>
    <w:rsid w:val="00B212DA"/>
    <w:rsid w:val="00B21EED"/>
    <w:rsid w:val="00B244F1"/>
    <w:rsid w:val="00B24548"/>
    <w:rsid w:val="00B253E6"/>
    <w:rsid w:val="00B25F29"/>
    <w:rsid w:val="00B3489F"/>
    <w:rsid w:val="00B40033"/>
    <w:rsid w:val="00B437A7"/>
    <w:rsid w:val="00B44357"/>
    <w:rsid w:val="00B47017"/>
    <w:rsid w:val="00B509F0"/>
    <w:rsid w:val="00B511FB"/>
    <w:rsid w:val="00B513FD"/>
    <w:rsid w:val="00B52AB4"/>
    <w:rsid w:val="00B52FEE"/>
    <w:rsid w:val="00B53364"/>
    <w:rsid w:val="00B53D65"/>
    <w:rsid w:val="00B557FE"/>
    <w:rsid w:val="00B57784"/>
    <w:rsid w:val="00B603CD"/>
    <w:rsid w:val="00B625F7"/>
    <w:rsid w:val="00B63A8E"/>
    <w:rsid w:val="00B67CE5"/>
    <w:rsid w:val="00B718D1"/>
    <w:rsid w:val="00B72013"/>
    <w:rsid w:val="00B72664"/>
    <w:rsid w:val="00B727B1"/>
    <w:rsid w:val="00B7328A"/>
    <w:rsid w:val="00B734B6"/>
    <w:rsid w:val="00B7560D"/>
    <w:rsid w:val="00B81556"/>
    <w:rsid w:val="00B815F1"/>
    <w:rsid w:val="00B818ED"/>
    <w:rsid w:val="00B82C89"/>
    <w:rsid w:val="00B830C5"/>
    <w:rsid w:val="00B8493C"/>
    <w:rsid w:val="00B86DE3"/>
    <w:rsid w:val="00B87BF1"/>
    <w:rsid w:val="00B87F1E"/>
    <w:rsid w:val="00B909DA"/>
    <w:rsid w:val="00B91EF1"/>
    <w:rsid w:val="00B92FEF"/>
    <w:rsid w:val="00B9352D"/>
    <w:rsid w:val="00B9357A"/>
    <w:rsid w:val="00B955EE"/>
    <w:rsid w:val="00B970BA"/>
    <w:rsid w:val="00B9716D"/>
    <w:rsid w:val="00BA15A4"/>
    <w:rsid w:val="00BA5099"/>
    <w:rsid w:val="00BA656F"/>
    <w:rsid w:val="00BA7291"/>
    <w:rsid w:val="00BB0A73"/>
    <w:rsid w:val="00BB1674"/>
    <w:rsid w:val="00BB2B93"/>
    <w:rsid w:val="00BB2C67"/>
    <w:rsid w:val="00BB5375"/>
    <w:rsid w:val="00BB6596"/>
    <w:rsid w:val="00BC1A49"/>
    <w:rsid w:val="00BC2791"/>
    <w:rsid w:val="00BC3A05"/>
    <w:rsid w:val="00BC551E"/>
    <w:rsid w:val="00BC6489"/>
    <w:rsid w:val="00BD571D"/>
    <w:rsid w:val="00BD6D5C"/>
    <w:rsid w:val="00BE2447"/>
    <w:rsid w:val="00BE2AEA"/>
    <w:rsid w:val="00BE44CB"/>
    <w:rsid w:val="00BE5087"/>
    <w:rsid w:val="00BF4360"/>
    <w:rsid w:val="00C01A4A"/>
    <w:rsid w:val="00C04265"/>
    <w:rsid w:val="00C07000"/>
    <w:rsid w:val="00C11B4D"/>
    <w:rsid w:val="00C11B83"/>
    <w:rsid w:val="00C11C59"/>
    <w:rsid w:val="00C12FAD"/>
    <w:rsid w:val="00C14F73"/>
    <w:rsid w:val="00C20E68"/>
    <w:rsid w:val="00C2113B"/>
    <w:rsid w:val="00C22D84"/>
    <w:rsid w:val="00C233A0"/>
    <w:rsid w:val="00C23C10"/>
    <w:rsid w:val="00C23F40"/>
    <w:rsid w:val="00C24817"/>
    <w:rsid w:val="00C25868"/>
    <w:rsid w:val="00C25A17"/>
    <w:rsid w:val="00C25D20"/>
    <w:rsid w:val="00C26E71"/>
    <w:rsid w:val="00C3147E"/>
    <w:rsid w:val="00C31A78"/>
    <w:rsid w:val="00C334CD"/>
    <w:rsid w:val="00C360C9"/>
    <w:rsid w:val="00C37B03"/>
    <w:rsid w:val="00C41FCF"/>
    <w:rsid w:val="00C4211B"/>
    <w:rsid w:val="00C45536"/>
    <w:rsid w:val="00C4677B"/>
    <w:rsid w:val="00C46BF4"/>
    <w:rsid w:val="00C46E7F"/>
    <w:rsid w:val="00C475EC"/>
    <w:rsid w:val="00C512F7"/>
    <w:rsid w:val="00C52AE1"/>
    <w:rsid w:val="00C5556A"/>
    <w:rsid w:val="00C567E3"/>
    <w:rsid w:val="00C61328"/>
    <w:rsid w:val="00C616B7"/>
    <w:rsid w:val="00C61820"/>
    <w:rsid w:val="00C67BA6"/>
    <w:rsid w:val="00C769C1"/>
    <w:rsid w:val="00C76A6A"/>
    <w:rsid w:val="00C7799A"/>
    <w:rsid w:val="00C77A8E"/>
    <w:rsid w:val="00C81BDB"/>
    <w:rsid w:val="00C81C0D"/>
    <w:rsid w:val="00C82780"/>
    <w:rsid w:val="00C82C1B"/>
    <w:rsid w:val="00C83C2D"/>
    <w:rsid w:val="00C83D32"/>
    <w:rsid w:val="00C83ED4"/>
    <w:rsid w:val="00C83EFD"/>
    <w:rsid w:val="00C84492"/>
    <w:rsid w:val="00C85BBC"/>
    <w:rsid w:val="00C8616D"/>
    <w:rsid w:val="00C86EBC"/>
    <w:rsid w:val="00C92B4C"/>
    <w:rsid w:val="00C94E31"/>
    <w:rsid w:val="00C95890"/>
    <w:rsid w:val="00C9693B"/>
    <w:rsid w:val="00C96BBE"/>
    <w:rsid w:val="00C97199"/>
    <w:rsid w:val="00C97B6E"/>
    <w:rsid w:val="00CA35AD"/>
    <w:rsid w:val="00CA4A5A"/>
    <w:rsid w:val="00CA56F9"/>
    <w:rsid w:val="00CB2301"/>
    <w:rsid w:val="00CB2881"/>
    <w:rsid w:val="00CB3AB2"/>
    <w:rsid w:val="00CB61B9"/>
    <w:rsid w:val="00CC09BC"/>
    <w:rsid w:val="00CC1CDB"/>
    <w:rsid w:val="00CC3C92"/>
    <w:rsid w:val="00CC5923"/>
    <w:rsid w:val="00CC60FE"/>
    <w:rsid w:val="00CC7548"/>
    <w:rsid w:val="00CD18A6"/>
    <w:rsid w:val="00CD18C2"/>
    <w:rsid w:val="00CD36C3"/>
    <w:rsid w:val="00CD6713"/>
    <w:rsid w:val="00CE0AF3"/>
    <w:rsid w:val="00CE2ED6"/>
    <w:rsid w:val="00CE3CA7"/>
    <w:rsid w:val="00CE51F4"/>
    <w:rsid w:val="00CE68D1"/>
    <w:rsid w:val="00CF0283"/>
    <w:rsid w:val="00CF32AC"/>
    <w:rsid w:val="00CF340A"/>
    <w:rsid w:val="00CF70F6"/>
    <w:rsid w:val="00CF7B92"/>
    <w:rsid w:val="00D0075C"/>
    <w:rsid w:val="00D018FB"/>
    <w:rsid w:val="00D0459A"/>
    <w:rsid w:val="00D10CCF"/>
    <w:rsid w:val="00D11A8D"/>
    <w:rsid w:val="00D12A7D"/>
    <w:rsid w:val="00D13327"/>
    <w:rsid w:val="00D14899"/>
    <w:rsid w:val="00D14951"/>
    <w:rsid w:val="00D155A1"/>
    <w:rsid w:val="00D160EC"/>
    <w:rsid w:val="00D164F8"/>
    <w:rsid w:val="00D16A3D"/>
    <w:rsid w:val="00D2015F"/>
    <w:rsid w:val="00D23609"/>
    <w:rsid w:val="00D275D8"/>
    <w:rsid w:val="00D27BB8"/>
    <w:rsid w:val="00D27E75"/>
    <w:rsid w:val="00D310BA"/>
    <w:rsid w:val="00D31FBC"/>
    <w:rsid w:val="00D3201E"/>
    <w:rsid w:val="00D3239C"/>
    <w:rsid w:val="00D32805"/>
    <w:rsid w:val="00D33267"/>
    <w:rsid w:val="00D35E7C"/>
    <w:rsid w:val="00D364B8"/>
    <w:rsid w:val="00D4152E"/>
    <w:rsid w:val="00D418AB"/>
    <w:rsid w:val="00D429A7"/>
    <w:rsid w:val="00D4403F"/>
    <w:rsid w:val="00D44DBC"/>
    <w:rsid w:val="00D50107"/>
    <w:rsid w:val="00D501A5"/>
    <w:rsid w:val="00D501BE"/>
    <w:rsid w:val="00D52D99"/>
    <w:rsid w:val="00D53A19"/>
    <w:rsid w:val="00D60B63"/>
    <w:rsid w:val="00D61E37"/>
    <w:rsid w:val="00D6397E"/>
    <w:rsid w:val="00D66446"/>
    <w:rsid w:val="00D708A7"/>
    <w:rsid w:val="00D75BF0"/>
    <w:rsid w:val="00D77023"/>
    <w:rsid w:val="00D82B49"/>
    <w:rsid w:val="00D8310F"/>
    <w:rsid w:val="00D83772"/>
    <w:rsid w:val="00D8696B"/>
    <w:rsid w:val="00D87B99"/>
    <w:rsid w:val="00D90789"/>
    <w:rsid w:val="00D90C1C"/>
    <w:rsid w:val="00D926D9"/>
    <w:rsid w:val="00D93E6C"/>
    <w:rsid w:val="00D9766F"/>
    <w:rsid w:val="00DA13AD"/>
    <w:rsid w:val="00DA143A"/>
    <w:rsid w:val="00DA178B"/>
    <w:rsid w:val="00DA1B77"/>
    <w:rsid w:val="00DA2B69"/>
    <w:rsid w:val="00DA5432"/>
    <w:rsid w:val="00DA5FAA"/>
    <w:rsid w:val="00DA6368"/>
    <w:rsid w:val="00DB184A"/>
    <w:rsid w:val="00DB536B"/>
    <w:rsid w:val="00DB5ED0"/>
    <w:rsid w:val="00DB6CDC"/>
    <w:rsid w:val="00DB7F56"/>
    <w:rsid w:val="00DC2469"/>
    <w:rsid w:val="00DC4EF0"/>
    <w:rsid w:val="00DC6207"/>
    <w:rsid w:val="00DC65EC"/>
    <w:rsid w:val="00DD03C0"/>
    <w:rsid w:val="00DD0D0D"/>
    <w:rsid w:val="00DD1D71"/>
    <w:rsid w:val="00DD28C6"/>
    <w:rsid w:val="00DD3D18"/>
    <w:rsid w:val="00DD63F4"/>
    <w:rsid w:val="00DD6601"/>
    <w:rsid w:val="00DD7C9E"/>
    <w:rsid w:val="00DE0450"/>
    <w:rsid w:val="00DE3F54"/>
    <w:rsid w:val="00DE4F60"/>
    <w:rsid w:val="00DF140E"/>
    <w:rsid w:val="00DF3898"/>
    <w:rsid w:val="00DF6FF5"/>
    <w:rsid w:val="00E0054E"/>
    <w:rsid w:val="00E009F2"/>
    <w:rsid w:val="00E01EC2"/>
    <w:rsid w:val="00E030BA"/>
    <w:rsid w:val="00E034E7"/>
    <w:rsid w:val="00E06464"/>
    <w:rsid w:val="00E078DF"/>
    <w:rsid w:val="00E1259C"/>
    <w:rsid w:val="00E13ADB"/>
    <w:rsid w:val="00E141C1"/>
    <w:rsid w:val="00E172BF"/>
    <w:rsid w:val="00E174C9"/>
    <w:rsid w:val="00E218E4"/>
    <w:rsid w:val="00E24690"/>
    <w:rsid w:val="00E24696"/>
    <w:rsid w:val="00E27611"/>
    <w:rsid w:val="00E30B5A"/>
    <w:rsid w:val="00E3325A"/>
    <w:rsid w:val="00E334C2"/>
    <w:rsid w:val="00E34A11"/>
    <w:rsid w:val="00E36D15"/>
    <w:rsid w:val="00E37175"/>
    <w:rsid w:val="00E41E64"/>
    <w:rsid w:val="00E42DE2"/>
    <w:rsid w:val="00E439C6"/>
    <w:rsid w:val="00E43CEC"/>
    <w:rsid w:val="00E44432"/>
    <w:rsid w:val="00E4470E"/>
    <w:rsid w:val="00E50ED9"/>
    <w:rsid w:val="00E51929"/>
    <w:rsid w:val="00E53CB0"/>
    <w:rsid w:val="00E57242"/>
    <w:rsid w:val="00E6018A"/>
    <w:rsid w:val="00E601C9"/>
    <w:rsid w:val="00E6392E"/>
    <w:rsid w:val="00E642C0"/>
    <w:rsid w:val="00E71DE3"/>
    <w:rsid w:val="00E71E49"/>
    <w:rsid w:val="00E73434"/>
    <w:rsid w:val="00E74AF2"/>
    <w:rsid w:val="00E74E84"/>
    <w:rsid w:val="00E76D3D"/>
    <w:rsid w:val="00E77892"/>
    <w:rsid w:val="00E80A4E"/>
    <w:rsid w:val="00E82840"/>
    <w:rsid w:val="00E83281"/>
    <w:rsid w:val="00E83330"/>
    <w:rsid w:val="00E85858"/>
    <w:rsid w:val="00E86300"/>
    <w:rsid w:val="00E86BCC"/>
    <w:rsid w:val="00E87723"/>
    <w:rsid w:val="00E87F29"/>
    <w:rsid w:val="00E91488"/>
    <w:rsid w:val="00E93ADC"/>
    <w:rsid w:val="00E93B5C"/>
    <w:rsid w:val="00E949CC"/>
    <w:rsid w:val="00E94EB7"/>
    <w:rsid w:val="00E959A8"/>
    <w:rsid w:val="00EA0D17"/>
    <w:rsid w:val="00EA1870"/>
    <w:rsid w:val="00EA31A5"/>
    <w:rsid w:val="00EA48B6"/>
    <w:rsid w:val="00EA53B8"/>
    <w:rsid w:val="00EA7E26"/>
    <w:rsid w:val="00EB11D5"/>
    <w:rsid w:val="00EB419E"/>
    <w:rsid w:val="00EB45E2"/>
    <w:rsid w:val="00EB509A"/>
    <w:rsid w:val="00EC035C"/>
    <w:rsid w:val="00EC203E"/>
    <w:rsid w:val="00EC7452"/>
    <w:rsid w:val="00EC7BF1"/>
    <w:rsid w:val="00ED03CF"/>
    <w:rsid w:val="00ED1404"/>
    <w:rsid w:val="00ED3DAD"/>
    <w:rsid w:val="00ED4892"/>
    <w:rsid w:val="00ED5040"/>
    <w:rsid w:val="00ED5700"/>
    <w:rsid w:val="00ED65A2"/>
    <w:rsid w:val="00ED6B35"/>
    <w:rsid w:val="00ED7180"/>
    <w:rsid w:val="00EE2E39"/>
    <w:rsid w:val="00EE3628"/>
    <w:rsid w:val="00EE5767"/>
    <w:rsid w:val="00EE69D5"/>
    <w:rsid w:val="00EF0B32"/>
    <w:rsid w:val="00EF1951"/>
    <w:rsid w:val="00EF1F64"/>
    <w:rsid w:val="00EF3340"/>
    <w:rsid w:val="00EF365C"/>
    <w:rsid w:val="00EF4F70"/>
    <w:rsid w:val="00EF6031"/>
    <w:rsid w:val="00F002CD"/>
    <w:rsid w:val="00F004D5"/>
    <w:rsid w:val="00F01A5A"/>
    <w:rsid w:val="00F05C4B"/>
    <w:rsid w:val="00F20332"/>
    <w:rsid w:val="00F21B56"/>
    <w:rsid w:val="00F23BE5"/>
    <w:rsid w:val="00F2492F"/>
    <w:rsid w:val="00F26713"/>
    <w:rsid w:val="00F27565"/>
    <w:rsid w:val="00F27572"/>
    <w:rsid w:val="00F30192"/>
    <w:rsid w:val="00F31777"/>
    <w:rsid w:val="00F31A33"/>
    <w:rsid w:val="00F37019"/>
    <w:rsid w:val="00F37FFE"/>
    <w:rsid w:val="00F50BD4"/>
    <w:rsid w:val="00F5142B"/>
    <w:rsid w:val="00F51FC3"/>
    <w:rsid w:val="00F53367"/>
    <w:rsid w:val="00F54069"/>
    <w:rsid w:val="00F607F5"/>
    <w:rsid w:val="00F60E74"/>
    <w:rsid w:val="00F6150B"/>
    <w:rsid w:val="00F66260"/>
    <w:rsid w:val="00F679AA"/>
    <w:rsid w:val="00F70663"/>
    <w:rsid w:val="00F712D1"/>
    <w:rsid w:val="00F724A3"/>
    <w:rsid w:val="00F72931"/>
    <w:rsid w:val="00F744C2"/>
    <w:rsid w:val="00F75AE3"/>
    <w:rsid w:val="00F828EF"/>
    <w:rsid w:val="00F83CC0"/>
    <w:rsid w:val="00F83DC5"/>
    <w:rsid w:val="00F83E56"/>
    <w:rsid w:val="00F86041"/>
    <w:rsid w:val="00F86D55"/>
    <w:rsid w:val="00F904B3"/>
    <w:rsid w:val="00F918BE"/>
    <w:rsid w:val="00F91B71"/>
    <w:rsid w:val="00F920C0"/>
    <w:rsid w:val="00F92DCE"/>
    <w:rsid w:val="00F94232"/>
    <w:rsid w:val="00F969F6"/>
    <w:rsid w:val="00F96A0A"/>
    <w:rsid w:val="00F9710D"/>
    <w:rsid w:val="00F97BB0"/>
    <w:rsid w:val="00FA036C"/>
    <w:rsid w:val="00FA46C0"/>
    <w:rsid w:val="00FA7283"/>
    <w:rsid w:val="00FB0506"/>
    <w:rsid w:val="00FB11A7"/>
    <w:rsid w:val="00FB1C24"/>
    <w:rsid w:val="00FB440C"/>
    <w:rsid w:val="00FB4C48"/>
    <w:rsid w:val="00FB5E26"/>
    <w:rsid w:val="00FC30C9"/>
    <w:rsid w:val="00FC4C77"/>
    <w:rsid w:val="00FC4F2F"/>
    <w:rsid w:val="00FC6B68"/>
    <w:rsid w:val="00FC6FEC"/>
    <w:rsid w:val="00FD0323"/>
    <w:rsid w:val="00FD0E12"/>
    <w:rsid w:val="00FD1A2F"/>
    <w:rsid w:val="00FD306E"/>
    <w:rsid w:val="00FD33E1"/>
    <w:rsid w:val="00FD4836"/>
    <w:rsid w:val="00FD5035"/>
    <w:rsid w:val="00FD571B"/>
    <w:rsid w:val="00FD5826"/>
    <w:rsid w:val="00FD6789"/>
    <w:rsid w:val="00FD6AD1"/>
    <w:rsid w:val="00FD7BA7"/>
    <w:rsid w:val="00FE0590"/>
    <w:rsid w:val="00FE2A50"/>
    <w:rsid w:val="00FE4B0F"/>
    <w:rsid w:val="00FE4D67"/>
    <w:rsid w:val="00FE5C0C"/>
    <w:rsid w:val="00FF01A6"/>
    <w:rsid w:val="00FF25C3"/>
    <w:rsid w:val="00FF52B2"/>
    <w:rsid w:val="00FF6647"/>
    <w:rsid w:val="00FF6CB6"/>
    <w:rsid w:val="00FF6CF9"/>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421A"/>
  <w15:docId w15:val="{63DA0572-84B7-4AE8-9DE2-70A3329A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9A"/>
  </w:style>
  <w:style w:type="paragraph" w:styleId="Heading2">
    <w:name w:val="heading 2"/>
    <w:basedOn w:val="Normal"/>
    <w:link w:val="Heading2Char"/>
    <w:uiPriority w:val="9"/>
    <w:qFormat/>
    <w:rsid w:val="00341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92"/>
  </w:style>
  <w:style w:type="paragraph" w:styleId="Footer">
    <w:name w:val="footer"/>
    <w:basedOn w:val="Normal"/>
    <w:link w:val="FooterChar"/>
    <w:uiPriority w:val="99"/>
    <w:unhideWhenUsed/>
    <w:rsid w:val="00CC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92"/>
  </w:style>
  <w:style w:type="paragraph" w:styleId="ListParagraph">
    <w:name w:val="List Paragraph"/>
    <w:basedOn w:val="Normal"/>
    <w:uiPriority w:val="34"/>
    <w:qFormat/>
    <w:rsid w:val="004C77E7"/>
    <w:pPr>
      <w:ind w:left="720"/>
      <w:contextualSpacing/>
    </w:pPr>
  </w:style>
  <w:style w:type="paragraph" w:styleId="NormalWeb">
    <w:name w:val="Normal (Web)"/>
    <w:basedOn w:val="Normal"/>
    <w:uiPriority w:val="99"/>
    <w:unhideWhenUsed/>
    <w:rsid w:val="00842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742"/>
    <w:rPr>
      <w:b/>
      <w:bCs/>
    </w:rPr>
  </w:style>
  <w:style w:type="character" w:styleId="Emphasis">
    <w:name w:val="Emphasis"/>
    <w:basedOn w:val="DefaultParagraphFont"/>
    <w:uiPriority w:val="20"/>
    <w:qFormat/>
    <w:rsid w:val="00842742"/>
    <w:rPr>
      <w:i/>
      <w:iCs/>
    </w:rPr>
  </w:style>
  <w:style w:type="paragraph" w:styleId="FootnoteText">
    <w:name w:val="footnote text"/>
    <w:basedOn w:val="Normal"/>
    <w:link w:val="FootnoteTextChar"/>
    <w:uiPriority w:val="99"/>
    <w:unhideWhenUsed/>
    <w:rsid w:val="005A1AA8"/>
    <w:pPr>
      <w:spacing w:after="0" w:line="240" w:lineRule="auto"/>
    </w:pPr>
    <w:rPr>
      <w:sz w:val="20"/>
      <w:szCs w:val="20"/>
    </w:rPr>
  </w:style>
  <w:style w:type="character" w:customStyle="1" w:styleId="FootnoteTextChar">
    <w:name w:val="Footnote Text Char"/>
    <w:basedOn w:val="DefaultParagraphFont"/>
    <w:link w:val="FootnoteText"/>
    <w:uiPriority w:val="99"/>
    <w:rsid w:val="005A1AA8"/>
    <w:rPr>
      <w:sz w:val="20"/>
      <w:szCs w:val="20"/>
    </w:rPr>
  </w:style>
  <w:style w:type="character" w:styleId="FootnoteReference">
    <w:name w:val="footnote reference"/>
    <w:basedOn w:val="DefaultParagraphFont"/>
    <w:uiPriority w:val="99"/>
    <w:semiHidden/>
    <w:unhideWhenUsed/>
    <w:rsid w:val="005A1AA8"/>
    <w:rPr>
      <w:vertAlign w:val="superscript"/>
    </w:rPr>
  </w:style>
  <w:style w:type="paragraph" w:styleId="CommentText">
    <w:name w:val="annotation text"/>
    <w:basedOn w:val="Normal"/>
    <w:link w:val="CommentTextChar"/>
    <w:uiPriority w:val="99"/>
    <w:unhideWhenUsed/>
    <w:rsid w:val="005A1AA8"/>
    <w:pPr>
      <w:spacing w:line="240" w:lineRule="auto"/>
    </w:pPr>
    <w:rPr>
      <w:sz w:val="20"/>
      <w:szCs w:val="20"/>
    </w:rPr>
  </w:style>
  <w:style w:type="character" w:customStyle="1" w:styleId="CommentTextChar">
    <w:name w:val="Comment Text Char"/>
    <w:basedOn w:val="DefaultParagraphFont"/>
    <w:link w:val="CommentText"/>
    <w:uiPriority w:val="99"/>
    <w:rsid w:val="005A1AA8"/>
    <w:rPr>
      <w:sz w:val="20"/>
      <w:szCs w:val="20"/>
    </w:rPr>
  </w:style>
  <w:style w:type="character" w:styleId="PlaceholderText">
    <w:name w:val="Placeholder Text"/>
    <w:basedOn w:val="DefaultParagraphFont"/>
    <w:uiPriority w:val="99"/>
    <w:semiHidden/>
    <w:rsid w:val="0047096B"/>
    <w:rPr>
      <w:color w:val="808080"/>
    </w:rPr>
  </w:style>
  <w:style w:type="character" w:styleId="Hyperlink">
    <w:name w:val="Hyperlink"/>
    <w:basedOn w:val="DefaultParagraphFont"/>
    <w:uiPriority w:val="99"/>
    <w:unhideWhenUsed/>
    <w:rsid w:val="004B4C52"/>
    <w:rPr>
      <w:color w:val="0000FF"/>
      <w:u w:val="single"/>
    </w:rPr>
  </w:style>
  <w:style w:type="character" w:customStyle="1" w:styleId="wb-inv">
    <w:name w:val="wb-inv"/>
    <w:basedOn w:val="DefaultParagraphFont"/>
    <w:rsid w:val="004B4C52"/>
  </w:style>
  <w:style w:type="character" w:styleId="CommentReference">
    <w:name w:val="annotation reference"/>
    <w:basedOn w:val="DefaultParagraphFont"/>
    <w:uiPriority w:val="99"/>
    <w:semiHidden/>
    <w:unhideWhenUsed/>
    <w:rsid w:val="006C5806"/>
    <w:rPr>
      <w:sz w:val="16"/>
      <w:szCs w:val="16"/>
    </w:rPr>
  </w:style>
  <w:style w:type="paragraph" w:styleId="CommentSubject">
    <w:name w:val="annotation subject"/>
    <w:basedOn w:val="CommentText"/>
    <w:next w:val="CommentText"/>
    <w:link w:val="CommentSubjectChar"/>
    <w:uiPriority w:val="99"/>
    <w:semiHidden/>
    <w:unhideWhenUsed/>
    <w:rsid w:val="006C5806"/>
    <w:rPr>
      <w:b/>
      <w:bCs/>
    </w:rPr>
  </w:style>
  <w:style w:type="character" w:customStyle="1" w:styleId="CommentSubjectChar">
    <w:name w:val="Comment Subject Char"/>
    <w:basedOn w:val="CommentTextChar"/>
    <w:link w:val="CommentSubject"/>
    <w:uiPriority w:val="99"/>
    <w:semiHidden/>
    <w:rsid w:val="006C5806"/>
    <w:rPr>
      <w:b/>
      <w:bCs/>
      <w:sz w:val="20"/>
      <w:szCs w:val="20"/>
    </w:rPr>
  </w:style>
  <w:style w:type="paragraph" w:styleId="Revision">
    <w:name w:val="Revision"/>
    <w:hidden/>
    <w:uiPriority w:val="99"/>
    <w:semiHidden/>
    <w:rsid w:val="006C5806"/>
    <w:pPr>
      <w:spacing w:after="0" w:line="240" w:lineRule="auto"/>
    </w:pPr>
  </w:style>
  <w:style w:type="paragraph" w:styleId="BalloonText">
    <w:name w:val="Balloon Text"/>
    <w:basedOn w:val="Normal"/>
    <w:link w:val="BalloonTextChar"/>
    <w:uiPriority w:val="99"/>
    <w:semiHidden/>
    <w:unhideWhenUsed/>
    <w:rsid w:val="006C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06"/>
    <w:rPr>
      <w:rFonts w:ascii="Tahoma" w:hAnsi="Tahoma" w:cs="Tahoma"/>
      <w:sz w:val="16"/>
      <w:szCs w:val="16"/>
    </w:rPr>
  </w:style>
  <w:style w:type="character" w:customStyle="1" w:styleId="Heading2Char">
    <w:name w:val="Heading 2 Char"/>
    <w:basedOn w:val="DefaultParagraphFont"/>
    <w:link w:val="Heading2"/>
    <w:uiPriority w:val="9"/>
    <w:rsid w:val="00341E07"/>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23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4449">
      <w:bodyDiv w:val="1"/>
      <w:marLeft w:val="0"/>
      <w:marRight w:val="0"/>
      <w:marTop w:val="0"/>
      <w:marBottom w:val="0"/>
      <w:divBdr>
        <w:top w:val="none" w:sz="0" w:space="0" w:color="auto"/>
        <w:left w:val="none" w:sz="0" w:space="0" w:color="auto"/>
        <w:bottom w:val="none" w:sz="0" w:space="0" w:color="auto"/>
        <w:right w:val="none" w:sz="0" w:space="0" w:color="auto"/>
      </w:divBdr>
    </w:div>
    <w:div w:id="290986781">
      <w:bodyDiv w:val="1"/>
      <w:marLeft w:val="0"/>
      <w:marRight w:val="0"/>
      <w:marTop w:val="0"/>
      <w:marBottom w:val="0"/>
      <w:divBdr>
        <w:top w:val="none" w:sz="0" w:space="0" w:color="auto"/>
        <w:left w:val="none" w:sz="0" w:space="0" w:color="auto"/>
        <w:bottom w:val="none" w:sz="0" w:space="0" w:color="auto"/>
        <w:right w:val="none" w:sz="0" w:space="0" w:color="auto"/>
      </w:divBdr>
    </w:div>
    <w:div w:id="346642986">
      <w:bodyDiv w:val="1"/>
      <w:marLeft w:val="0"/>
      <w:marRight w:val="0"/>
      <w:marTop w:val="0"/>
      <w:marBottom w:val="0"/>
      <w:divBdr>
        <w:top w:val="none" w:sz="0" w:space="0" w:color="auto"/>
        <w:left w:val="none" w:sz="0" w:space="0" w:color="auto"/>
        <w:bottom w:val="none" w:sz="0" w:space="0" w:color="auto"/>
        <w:right w:val="none" w:sz="0" w:space="0" w:color="auto"/>
      </w:divBdr>
    </w:div>
    <w:div w:id="375548578">
      <w:bodyDiv w:val="1"/>
      <w:marLeft w:val="0"/>
      <w:marRight w:val="0"/>
      <w:marTop w:val="0"/>
      <w:marBottom w:val="0"/>
      <w:divBdr>
        <w:top w:val="none" w:sz="0" w:space="0" w:color="auto"/>
        <w:left w:val="none" w:sz="0" w:space="0" w:color="auto"/>
        <w:bottom w:val="none" w:sz="0" w:space="0" w:color="auto"/>
        <w:right w:val="none" w:sz="0" w:space="0" w:color="auto"/>
      </w:divBdr>
    </w:div>
    <w:div w:id="450441604">
      <w:bodyDiv w:val="1"/>
      <w:marLeft w:val="0"/>
      <w:marRight w:val="0"/>
      <w:marTop w:val="0"/>
      <w:marBottom w:val="0"/>
      <w:divBdr>
        <w:top w:val="none" w:sz="0" w:space="0" w:color="auto"/>
        <w:left w:val="none" w:sz="0" w:space="0" w:color="auto"/>
        <w:bottom w:val="none" w:sz="0" w:space="0" w:color="auto"/>
        <w:right w:val="none" w:sz="0" w:space="0" w:color="auto"/>
      </w:divBdr>
    </w:div>
    <w:div w:id="596526712">
      <w:bodyDiv w:val="1"/>
      <w:marLeft w:val="0"/>
      <w:marRight w:val="0"/>
      <w:marTop w:val="0"/>
      <w:marBottom w:val="0"/>
      <w:divBdr>
        <w:top w:val="none" w:sz="0" w:space="0" w:color="auto"/>
        <w:left w:val="none" w:sz="0" w:space="0" w:color="auto"/>
        <w:bottom w:val="none" w:sz="0" w:space="0" w:color="auto"/>
        <w:right w:val="none" w:sz="0" w:space="0" w:color="auto"/>
      </w:divBdr>
    </w:div>
    <w:div w:id="718167963">
      <w:bodyDiv w:val="1"/>
      <w:marLeft w:val="0"/>
      <w:marRight w:val="0"/>
      <w:marTop w:val="0"/>
      <w:marBottom w:val="0"/>
      <w:divBdr>
        <w:top w:val="none" w:sz="0" w:space="0" w:color="auto"/>
        <w:left w:val="none" w:sz="0" w:space="0" w:color="auto"/>
        <w:bottom w:val="none" w:sz="0" w:space="0" w:color="auto"/>
        <w:right w:val="none" w:sz="0" w:space="0" w:color="auto"/>
      </w:divBdr>
    </w:div>
    <w:div w:id="782388196">
      <w:bodyDiv w:val="1"/>
      <w:marLeft w:val="0"/>
      <w:marRight w:val="0"/>
      <w:marTop w:val="0"/>
      <w:marBottom w:val="0"/>
      <w:divBdr>
        <w:top w:val="none" w:sz="0" w:space="0" w:color="auto"/>
        <w:left w:val="none" w:sz="0" w:space="0" w:color="auto"/>
        <w:bottom w:val="none" w:sz="0" w:space="0" w:color="auto"/>
        <w:right w:val="none" w:sz="0" w:space="0" w:color="auto"/>
      </w:divBdr>
    </w:div>
    <w:div w:id="809249932">
      <w:bodyDiv w:val="1"/>
      <w:marLeft w:val="0"/>
      <w:marRight w:val="0"/>
      <w:marTop w:val="0"/>
      <w:marBottom w:val="0"/>
      <w:divBdr>
        <w:top w:val="none" w:sz="0" w:space="0" w:color="auto"/>
        <w:left w:val="none" w:sz="0" w:space="0" w:color="auto"/>
        <w:bottom w:val="none" w:sz="0" w:space="0" w:color="auto"/>
        <w:right w:val="none" w:sz="0" w:space="0" w:color="auto"/>
      </w:divBdr>
    </w:div>
    <w:div w:id="956449625">
      <w:bodyDiv w:val="1"/>
      <w:marLeft w:val="0"/>
      <w:marRight w:val="0"/>
      <w:marTop w:val="0"/>
      <w:marBottom w:val="0"/>
      <w:divBdr>
        <w:top w:val="none" w:sz="0" w:space="0" w:color="auto"/>
        <w:left w:val="none" w:sz="0" w:space="0" w:color="auto"/>
        <w:bottom w:val="none" w:sz="0" w:space="0" w:color="auto"/>
        <w:right w:val="none" w:sz="0" w:space="0" w:color="auto"/>
      </w:divBdr>
    </w:div>
    <w:div w:id="1080058304">
      <w:bodyDiv w:val="1"/>
      <w:marLeft w:val="0"/>
      <w:marRight w:val="0"/>
      <w:marTop w:val="0"/>
      <w:marBottom w:val="0"/>
      <w:divBdr>
        <w:top w:val="none" w:sz="0" w:space="0" w:color="auto"/>
        <w:left w:val="none" w:sz="0" w:space="0" w:color="auto"/>
        <w:bottom w:val="none" w:sz="0" w:space="0" w:color="auto"/>
        <w:right w:val="none" w:sz="0" w:space="0" w:color="auto"/>
      </w:divBdr>
    </w:div>
    <w:div w:id="1238327083">
      <w:bodyDiv w:val="1"/>
      <w:marLeft w:val="0"/>
      <w:marRight w:val="0"/>
      <w:marTop w:val="0"/>
      <w:marBottom w:val="0"/>
      <w:divBdr>
        <w:top w:val="none" w:sz="0" w:space="0" w:color="auto"/>
        <w:left w:val="none" w:sz="0" w:space="0" w:color="auto"/>
        <w:bottom w:val="none" w:sz="0" w:space="0" w:color="auto"/>
        <w:right w:val="none" w:sz="0" w:space="0" w:color="auto"/>
      </w:divBdr>
    </w:div>
    <w:div w:id="1998922864">
      <w:bodyDiv w:val="1"/>
      <w:marLeft w:val="0"/>
      <w:marRight w:val="0"/>
      <w:marTop w:val="0"/>
      <w:marBottom w:val="0"/>
      <w:divBdr>
        <w:top w:val="none" w:sz="0" w:space="0" w:color="auto"/>
        <w:left w:val="none" w:sz="0" w:space="0" w:color="auto"/>
        <w:bottom w:val="none" w:sz="0" w:space="0" w:color="auto"/>
        <w:right w:val="none" w:sz="0" w:space="0" w:color="auto"/>
      </w:divBdr>
    </w:div>
    <w:div w:id="21265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app.org/news/a/why-some-dsr-services-create-compliance-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0BB21-5F44-4AC5-A368-F53AAAAE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Alan_2</dc:creator>
  <cp:lastModifiedBy>Lauren Scheib</cp:lastModifiedBy>
  <cp:revision>2</cp:revision>
  <dcterms:created xsi:type="dcterms:W3CDTF">2022-08-22T19:27:00Z</dcterms:created>
  <dcterms:modified xsi:type="dcterms:W3CDTF">2022-08-22T19:27:00Z</dcterms:modified>
</cp:coreProperties>
</file>